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5C8" w:rsidRPr="00A73658" w:rsidRDefault="00F06ED0">
      <w:pPr>
        <w:spacing w:after="57" w:line="240" w:lineRule="auto"/>
        <w:rPr>
          <w:sz w:val="32"/>
          <w:szCs w:val="32"/>
        </w:rPr>
      </w:pPr>
      <w:r w:rsidRPr="00A73658">
        <w:rPr>
          <w:b/>
          <w:sz w:val="32"/>
          <w:szCs w:val="32"/>
        </w:rPr>
        <w:t>Připomínky k oznámení záměru EIA SOKP 51</w:t>
      </w:r>
      <w:r w:rsidR="00A73658" w:rsidRPr="00A73658">
        <w:rPr>
          <w:b/>
          <w:sz w:val="32"/>
          <w:szCs w:val="32"/>
        </w:rPr>
        <w:t>9</w:t>
      </w:r>
      <w:r w:rsidRPr="00A73658">
        <w:rPr>
          <w:b/>
          <w:sz w:val="32"/>
          <w:szCs w:val="32"/>
        </w:rPr>
        <w:t xml:space="preserve"> Suchdol </w:t>
      </w:r>
      <w:r w:rsidR="009F7B25">
        <w:rPr>
          <w:b/>
          <w:sz w:val="32"/>
          <w:szCs w:val="32"/>
        </w:rPr>
        <w:t>–</w:t>
      </w:r>
      <w:r w:rsidR="00A73658" w:rsidRPr="00A73658">
        <w:rPr>
          <w:b/>
          <w:sz w:val="32"/>
          <w:szCs w:val="32"/>
        </w:rPr>
        <w:t xml:space="preserve"> Březiněves</w:t>
      </w:r>
    </w:p>
    <w:p w:rsidR="008245C8" w:rsidRDefault="008245C8">
      <w:pPr>
        <w:spacing w:after="57" w:line="240" w:lineRule="auto"/>
        <w:jc w:val="both"/>
        <w:rPr>
          <w:rFonts w:ascii="Calibri" w:hAnsi="Calibri" w:cstheme="minorHAnsi"/>
          <w:sz w:val="24"/>
          <w:szCs w:val="24"/>
        </w:rPr>
      </w:pPr>
    </w:p>
    <w:p w:rsidR="008245C8" w:rsidRDefault="00F06ED0">
      <w:pPr>
        <w:spacing w:after="57" w:line="240" w:lineRule="auto"/>
        <w:jc w:val="both"/>
        <w:rPr>
          <w:rFonts w:ascii="Calibri" w:hAnsi="Calibri"/>
        </w:rPr>
      </w:pPr>
      <w:r>
        <w:rPr>
          <w:rFonts w:cstheme="minorHAnsi"/>
          <w:sz w:val="24"/>
          <w:szCs w:val="24"/>
        </w:rPr>
        <w:t>Ministerstvo životního prostředí</w:t>
      </w:r>
    </w:p>
    <w:p w:rsidR="008245C8" w:rsidRDefault="00F06ED0">
      <w:pPr>
        <w:spacing w:after="57" w:line="240" w:lineRule="auto"/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Odbor posuzování vlivů na životní prostředí a integrované prevence, </w:t>
      </w:r>
    </w:p>
    <w:p w:rsidR="008245C8" w:rsidRDefault="00F06ED0">
      <w:pPr>
        <w:spacing w:after="57" w:line="240" w:lineRule="auto"/>
        <w:jc w:val="both"/>
        <w:rPr>
          <w:rFonts w:ascii="Calibri" w:hAnsi="Calibri"/>
        </w:rPr>
      </w:pPr>
      <w:r>
        <w:rPr>
          <w:rFonts w:cstheme="minorHAnsi"/>
          <w:sz w:val="24"/>
          <w:szCs w:val="24"/>
        </w:rPr>
        <w:t>Vršovická 65, 100 10 Praha 10</w:t>
      </w:r>
    </w:p>
    <w:p w:rsidR="00EE2896" w:rsidRDefault="00EE2896" w:rsidP="00EE2896">
      <w:pPr>
        <w:pStyle w:val="Odstavecseseznamem"/>
        <w:spacing w:after="57" w:line="240" w:lineRule="auto"/>
        <w:jc w:val="right"/>
        <w:rPr>
          <w:rFonts w:ascii="Calibri" w:hAnsi="Calibri" w:cstheme="minorHAnsi"/>
          <w:sz w:val="24"/>
          <w:szCs w:val="24"/>
        </w:rPr>
      </w:pPr>
    </w:p>
    <w:p w:rsidR="00EE2896" w:rsidRPr="00EE2896" w:rsidRDefault="00CB45F7" w:rsidP="00EE2896">
      <w:pPr>
        <w:pStyle w:val="Odstavecseseznamem"/>
        <w:spacing w:after="57" w:line="240" w:lineRule="auto"/>
        <w:jc w:val="right"/>
        <w:rPr>
          <w:rFonts w:ascii="Calibri" w:hAnsi="Calibri"/>
        </w:rPr>
      </w:pPr>
      <w:r>
        <w:rPr>
          <w:rFonts w:ascii="Calibri" w:hAnsi="Calibri" w:cstheme="minorHAnsi"/>
          <w:sz w:val="24"/>
          <w:szCs w:val="24"/>
        </w:rPr>
        <w:t>V Praze</w:t>
      </w:r>
      <w:r w:rsidR="00EE2896" w:rsidRPr="006B2362">
        <w:rPr>
          <w:rFonts w:ascii="Calibri" w:hAnsi="Calibri" w:cstheme="minorHAnsi"/>
          <w:sz w:val="24"/>
          <w:szCs w:val="24"/>
        </w:rPr>
        <w:t xml:space="preserve"> </w:t>
      </w:r>
      <w:proofErr w:type="gramStart"/>
      <w:r w:rsidR="00EE2896" w:rsidRPr="006B2362">
        <w:rPr>
          <w:rFonts w:ascii="Calibri" w:hAnsi="Calibri" w:cstheme="minorHAnsi"/>
          <w:sz w:val="24"/>
          <w:szCs w:val="24"/>
        </w:rPr>
        <w:t>dne</w:t>
      </w:r>
      <w:r w:rsidR="00F147B6">
        <w:rPr>
          <w:rFonts w:ascii="Calibri" w:hAnsi="Calibri" w:cstheme="minorHAnsi"/>
          <w:sz w:val="24"/>
          <w:szCs w:val="24"/>
        </w:rPr>
        <w:t xml:space="preserve"> </w:t>
      </w:r>
      <w:r w:rsidR="00F147B6">
        <w:rPr>
          <w:rFonts w:ascii="Calibri" w:hAnsi="Calibri" w:cstheme="minorHAnsi"/>
          <w:sz w:val="24"/>
          <w:szCs w:val="24"/>
          <w:highlight w:val="yellow"/>
        </w:rPr>
        <w:t xml:space="preserve">    </w:t>
      </w:r>
      <w:r w:rsidR="00F147B6" w:rsidRPr="00F147B6">
        <w:rPr>
          <w:rFonts w:ascii="Calibri" w:hAnsi="Calibri" w:cstheme="minorHAnsi"/>
          <w:sz w:val="24"/>
          <w:szCs w:val="24"/>
          <w:highlight w:val="yellow"/>
        </w:rPr>
        <w:t>. 10</w:t>
      </w:r>
      <w:proofErr w:type="gramEnd"/>
      <w:r w:rsidR="00F147B6" w:rsidRPr="00F147B6">
        <w:rPr>
          <w:rFonts w:ascii="Calibri" w:hAnsi="Calibri" w:cstheme="minorHAnsi"/>
          <w:sz w:val="24"/>
          <w:szCs w:val="24"/>
          <w:highlight w:val="yellow"/>
        </w:rPr>
        <w:t>.</w:t>
      </w:r>
      <w:r w:rsidR="00EE2896" w:rsidRPr="00F147B6">
        <w:rPr>
          <w:rFonts w:ascii="Calibri" w:hAnsi="Calibri" w:cstheme="minorHAnsi"/>
          <w:sz w:val="24"/>
          <w:szCs w:val="24"/>
          <w:highlight w:val="yellow"/>
        </w:rPr>
        <w:t xml:space="preserve"> 2019</w:t>
      </w:r>
    </w:p>
    <w:p w:rsidR="00EE2896" w:rsidRPr="00EE2896" w:rsidRDefault="00EE2896" w:rsidP="006D241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EE2896">
        <w:rPr>
          <w:rFonts w:eastAsia="Times New Roman" w:cstheme="minorHAnsi"/>
          <w:sz w:val="24"/>
          <w:szCs w:val="24"/>
          <w:lang w:eastAsia="cs-CZ"/>
        </w:rPr>
        <w:t>V souladu s ustanovením § 8 odst. 3 zákona č. 100/2001 Sb., o posuzování vlivů na životní prostředí, v platném znění se tímto vyjadřuj</w:t>
      </w:r>
      <w:r w:rsidR="00C175B9">
        <w:rPr>
          <w:rFonts w:eastAsia="Times New Roman" w:cstheme="minorHAnsi"/>
          <w:sz w:val="24"/>
          <w:szCs w:val="24"/>
          <w:lang w:eastAsia="cs-CZ"/>
        </w:rPr>
        <w:t xml:space="preserve">i </w:t>
      </w:r>
      <w:r w:rsidRPr="00EE2896">
        <w:rPr>
          <w:rFonts w:eastAsia="Times New Roman" w:cstheme="minorHAnsi"/>
          <w:sz w:val="24"/>
          <w:szCs w:val="24"/>
          <w:lang w:eastAsia="cs-CZ"/>
        </w:rPr>
        <w:t>k oznáme</w:t>
      </w:r>
      <w:r w:rsidR="00CB45F7">
        <w:rPr>
          <w:rFonts w:eastAsia="Times New Roman" w:cstheme="minorHAnsi"/>
          <w:sz w:val="24"/>
          <w:szCs w:val="24"/>
          <w:lang w:eastAsia="cs-CZ"/>
        </w:rPr>
        <w:t>ní záměru EIA SOKP 519 Suchdol –</w:t>
      </w:r>
      <w:r w:rsidRPr="00EE2896">
        <w:rPr>
          <w:rFonts w:eastAsia="Times New Roman" w:cstheme="minorHAnsi"/>
          <w:sz w:val="24"/>
          <w:szCs w:val="24"/>
          <w:lang w:eastAsia="cs-CZ"/>
        </w:rPr>
        <w:t xml:space="preserve"> Březiněves. Domnívám</w:t>
      </w:r>
      <w:r w:rsidR="00C175B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EE2896">
        <w:rPr>
          <w:rFonts w:eastAsia="Times New Roman" w:cstheme="minorHAnsi"/>
          <w:sz w:val="24"/>
          <w:szCs w:val="24"/>
          <w:lang w:eastAsia="cs-CZ"/>
        </w:rPr>
        <w:t>se, že dokumentace se adekvátně nevypořádává s níže uvedenými skutečnostmi. Vzhledem k níže uvedeným připomínkám se domnívám, že převažuje negativní vliv záměru, který dále zhoršuje místní podmínky nad míru přípustnou. Z uvedeného důvodu doporučuj</w:t>
      </w:r>
      <w:r w:rsidR="00C175B9">
        <w:rPr>
          <w:rFonts w:eastAsia="Times New Roman" w:cstheme="minorHAnsi"/>
          <w:sz w:val="24"/>
          <w:szCs w:val="24"/>
          <w:lang w:eastAsia="cs-CZ"/>
        </w:rPr>
        <w:t>i</w:t>
      </w:r>
      <w:r w:rsidRPr="00EE2896">
        <w:rPr>
          <w:rFonts w:eastAsia="Times New Roman" w:cstheme="minorHAnsi"/>
          <w:sz w:val="24"/>
          <w:szCs w:val="24"/>
          <w:lang w:eastAsia="cs-CZ"/>
        </w:rPr>
        <w:t xml:space="preserve">, aby k záměru bylo vydáno </w:t>
      </w:r>
      <w:r w:rsidRPr="00EE2896">
        <w:rPr>
          <w:rFonts w:eastAsia="Times New Roman" w:cstheme="minorHAnsi"/>
          <w:b/>
          <w:bCs/>
          <w:sz w:val="24"/>
          <w:szCs w:val="24"/>
          <w:lang w:eastAsia="cs-CZ"/>
        </w:rPr>
        <w:t>nesouhlasné stanovisko</w:t>
      </w:r>
      <w:r w:rsidRPr="00EE2896">
        <w:rPr>
          <w:rFonts w:eastAsia="Times New Roman" w:cstheme="minorHAnsi"/>
          <w:sz w:val="24"/>
          <w:szCs w:val="24"/>
          <w:lang w:eastAsia="cs-CZ"/>
        </w:rPr>
        <w:t>.</w:t>
      </w:r>
    </w:p>
    <w:p w:rsidR="008245C8" w:rsidRDefault="00F06ED0">
      <w:pPr>
        <w:spacing w:after="57" w:line="240" w:lineRule="auto"/>
        <w:jc w:val="both"/>
        <w:rPr>
          <w:rFonts w:ascii="Calibri" w:hAnsi="Calibri"/>
        </w:rPr>
      </w:pPr>
      <w:r>
        <w:rPr>
          <w:sz w:val="24"/>
          <w:szCs w:val="24"/>
        </w:rPr>
        <w:t>Vyjádření je rozděleno na dvě části:</w:t>
      </w:r>
    </w:p>
    <w:p w:rsidR="008245C8" w:rsidRDefault="00F06ED0">
      <w:pPr>
        <w:pStyle w:val="Odstavecseseznamem"/>
        <w:numPr>
          <w:ilvl w:val="0"/>
          <w:numId w:val="1"/>
        </w:num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Nesouhlas s navrhovaným záměrem a odůvodnění.</w:t>
      </w:r>
    </w:p>
    <w:p w:rsidR="008245C8" w:rsidRPr="00CB45F7" w:rsidRDefault="00F06ED0" w:rsidP="00CB45F7">
      <w:pPr>
        <w:pStyle w:val="Odstavecseseznamem"/>
        <w:numPr>
          <w:ilvl w:val="0"/>
          <w:numId w:val="1"/>
        </w:numPr>
        <w:spacing w:after="57" w:line="240" w:lineRule="auto"/>
        <w:jc w:val="both"/>
        <w:rPr>
          <w:rFonts w:ascii="Calibri" w:hAnsi="Calibri"/>
        </w:rPr>
      </w:pPr>
      <w:bookmarkStart w:id="0" w:name="__DdeLink__171_973622699"/>
      <w:r>
        <w:rPr>
          <w:sz w:val="24"/>
          <w:szCs w:val="24"/>
        </w:rPr>
        <w:t>Požadavky pro posuzování záměru podle zákona č. 100/2001 Sb. o posuzování vlivů na životní prostředí.</w:t>
      </w:r>
      <w:bookmarkEnd w:id="0"/>
    </w:p>
    <w:p w:rsidR="008245C8" w:rsidRPr="00CB3B66" w:rsidRDefault="00F06ED0" w:rsidP="00CB45F7">
      <w:pPr>
        <w:pStyle w:val="Nadpis1"/>
        <w:rPr>
          <w:rFonts w:asciiTheme="minorHAnsi" w:hAnsiTheme="minorHAnsi"/>
          <w:color w:val="auto"/>
          <w:sz w:val="36"/>
          <w:szCs w:val="36"/>
        </w:rPr>
      </w:pPr>
      <w:r w:rsidRPr="00CB3B66">
        <w:rPr>
          <w:rFonts w:asciiTheme="minorHAnsi" w:hAnsiTheme="minorHAnsi"/>
          <w:color w:val="auto"/>
          <w:sz w:val="36"/>
          <w:szCs w:val="36"/>
        </w:rPr>
        <w:t>1. Nesouhlas se záměrem a odůvodnění</w:t>
      </w:r>
    </w:p>
    <w:p w:rsidR="008245C8" w:rsidRDefault="00F06ED0">
      <w:pPr>
        <w:spacing w:after="57" w:line="240" w:lineRule="auto"/>
        <w:jc w:val="both"/>
        <w:rPr>
          <w:rFonts w:ascii="Calibri" w:hAnsi="Calibri"/>
          <w:b/>
          <w:sz w:val="24"/>
          <w:szCs w:val="24"/>
        </w:rPr>
      </w:pPr>
      <w:r>
        <w:rPr>
          <w:b/>
          <w:sz w:val="24"/>
          <w:szCs w:val="24"/>
        </w:rPr>
        <w:t xml:space="preserve">Nesouhlasím s vymezením koridoru Silničního okruhu kolem Prahy v trase Ruzyně – Suchdol (518) a Suchdol – Březiněves (519) a souvisejících staveb (MÚK, přivaděče). </w:t>
      </w:r>
    </w:p>
    <w:p w:rsidR="008245C8" w:rsidRDefault="008245C8">
      <w:pPr>
        <w:spacing w:after="57" w:line="240" w:lineRule="auto"/>
        <w:jc w:val="both"/>
        <w:rPr>
          <w:sz w:val="24"/>
          <w:szCs w:val="24"/>
        </w:rPr>
      </w:pPr>
    </w:p>
    <w:p w:rsidR="008245C8" w:rsidRDefault="00F06ED0">
      <w:pPr>
        <w:pStyle w:val="Odstavecseseznamem"/>
        <w:numPr>
          <w:ilvl w:val="1"/>
          <w:numId w:val="5"/>
        </w:numPr>
        <w:spacing w:after="57"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4"/>
          <w:szCs w:val="24"/>
        </w:rPr>
        <w:t>Nefunkční dopravní řešení a nesoulad s evropskou legislativou TEN-T</w:t>
      </w:r>
    </w:p>
    <w:p w:rsidR="008245C8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Silniční okruh kolem Prahy (dále SOKP) je součástí IV. multimodálního koridoru Berlín – Istanbul transevropské dopravní sítě. K zásadám rozvoje TEN-T patří především zvýšení plynulosti a bezpečnosti provozu, rychlé spojení velkých aglomerací, obcházení městských oblastí, oddělení městské a tranzitní dopravy.</w:t>
      </w:r>
    </w:p>
    <w:p w:rsidR="008245C8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SOKP by měl řešit tranzitní / dálkové dopravní vztahy</w:t>
      </w:r>
      <w:r>
        <w:rPr>
          <w:sz w:val="24"/>
          <w:szCs w:val="24"/>
        </w:rPr>
        <w:t>, např. Hradec Králové – Plzeň nebo Berlín – Vídeň, NIKOLI</w:t>
      </w:r>
      <w:r w:rsidR="00CB45F7">
        <w:rPr>
          <w:sz w:val="24"/>
          <w:szCs w:val="24"/>
        </w:rPr>
        <w:t>V Suchdol – Bohnice či Podbaba –</w:t>
      </w:r>
      <w:r>
        <w:rPr>
          <w:sz w:val="24"/>
          <w:szCs w:val="24"/>
        </w:rPr>
        <w:t xml:space="preserve"> Kobylisy. Pokud však na něj budou kladeny požadavky, aby zároveň sloužil potřebám městské dopravy, nebude fungovat tak, jak má. </w:t>
      </w:r>
      <w:r>
        <w:rPr>
          <w:b/>
          <w:sz w:val="24"/>
          <w:szCs w:val="24"/>
        </w:rPr>
        <w:t>Transevropská dálnice v jižní variantě svou polohou a parametry neřeší efektivně městské tangenciální vazby</w:t>
      </w:r>
      <w:r>
        <w:rPr>
          <w:sz w:val="24"/>
          <w:szCs w:val="24"/>
        </w:rPr>
        <w:t xml:space="preserve">. Je přece nelogické, aby lidé z Bohnic či Kobylis jezdili do Dejvic po </w:t>
      </w:r>
      <w:r w:rsidR="0084240F">
        <w:rPr>
          <w:sz w:val="24"/>
          <w:szCs w:val="24"/>
        </w:rPr>
        <w:t xml:space="preserve">dálnici přes přírodní park </w:t>
      </w:r>
      <w:proofErr w:type="spellStart"/>
      <w:r w:rsidR="0084240F">
        <w:rPr>
          <w:sz w:val="24"/>
          <w:szCs w:val="24"/>
        </w:rPr>
        <w:t>Draha</w:t>
      </w:r>
      <w:r>
        <w:rPr>
          <w:sz w:val="24"/>
          <w:szCs w:val="24"/>
        </w:rPr>
        <w:t>ň</w:t>
      </w:r>
      <w:proofErr w:type="spellEnd"/>
      <w:r>
        <w:rPr>
          <w:sz w:val="24"/>
          <w:szCs w:val="24"/>
        </w:rPr>
        <w:t xml:space="preserve"> – Troja. </w:t>
      </w:r>
    </w:p>
    <w:p w:rsidR="008245C8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SOKP dle ZÚR je </w:t>
      </w:r>
      <w:r>
        <w:rPr>
          <w:b/>
          <w:sz w:val="24"/>
          <w:szCs w:val="24"/>
        </w:rPr>
        <w:t>v rozporu s evropskou legislativou TEN-T</w:t>
      </w:r>
      <w:r>
        <w:rPr>
          <w:sz w:val="24"/>
          <w:szCs w:val="24"/>
        </w:rPr>
        <w:t>, neboť vede zastavěným a zastavitelným územím hl. města Prahy a nechrání obyvatele Prahy před nepříznivými účinky tranzitní silniční dopravy (nesoulad s čl. 30, e) – nejedná se o obchvat, ale o průtah městem. Realizace dnes již dálničního průtahu by měla velmi negativní dopady na cca 100 000 lidí na severu a východě Prahy.</w:t>
      </w:r>
    </w:p>
    <w:p w:rsidR="0084240F" w:rsidRDefault="0084240F">
      <w:pPr>
        <w:spacing w:after="57" w:line="240" w:lineRule="auto"/>
        <w:jc w:val="both"/>
        <w:rPr>
          <w:sz w:val="24"/>
          <w:szCs w:val="24"/>
        </w:rPr>
      </w:pPr>
    </w:p>
    <w:p w:rsidR="008245C8" w:rsidRDefault="00F06ED0">
      <w:pPr>
        <w:pStyle w:val="Odstavecseseznamem"/>
        <w:numPr>
          <w:ilvl w:val="1"/>
          <w:numId w:val="5"/>
        </w:numPr>
        <w:spacing w:after="57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Zastaralá koncepce neodpovídající současné situaci a budoucímu vývoji</w:t>
      </w:r>
    </w:p>
    <w:p w:rsidR="008245C8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Současný návrh SOKP dle ZÚR </w:t>
      </w:r>
      <w:r>
        <w:rPr>
          <w:b/>
          <w:sz w:val="24"/>
          <w:szCs w:val="24"/>
        </w:rPr>
        <w:t>vychází z koncepce 60. let minulého století</w:t>
      </w:r>
      <w:r w:rsidR="0084240F">
        <w:rPr>
          <w:sz w:val="24"/>
          <w:szCs w:val="24"/>
        </w:rPr>
        <w:t>. Od té doby došlo k </w:t>
      </w:r>
      <w:r>
        <w:rPr>
          <w:sz w:val="24"/>
          <w:szCs w:val="24"/>
        </w:rPr>
        <w:t xml:space="preserve">významnému rozvoji města a obrovskému nárůstu dopravy v důsledku přechodu na tržní </w:t>
      </w:r>
      <w:r>
        <w:rPr>
          <w:sz w:val="24"/>
          <w:szCs w:val="24"/>
        </w:rPr>
        <w:lastRenderedPageBreak/>
        <w:t xml:space="preserve">hospodářství a zapojení do evropských struktur. SOKP </w:t>
      </w:r>
      <w:r>
        <w:rPr>
          <w:b/>
          <w:sz w:val="24"/>
          <w:szCs w:val="24"/>
        </w:rPr>
        <w:t>nebere ohled na zásadní změny</w:t>
      </w:r>
      <w:r>
        <w:rPr>
          <w:rFonts w:cstheme="minorHAnsi"/>
        </w:rPr>
        <w:t xml:space="preserve"> </w:t>
      </w:r>
      <w:r>
        <w:rPr>
          <w:sz w:val="24"/>
          <w:szCs w:val="24"/>
        </w:rPr>
        <w:t>a zavádí na území hl.</w:t>
      </w:r>
      <w:r w:rsidR="008424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m. Prahy tranzitní, zejména kamionovou dopravu. </w:t>
      </w:r>
    </w:p>
    <w:p w:rsidR="008245C8" w:rsidRDefault="008245C8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8245C8" w:rsidRDefault="00F06ED0">
      <w:pPr>
        <w:pStyle w:val="Odstavecseseznamem"/>
        <w:numPr>
          <w:ilvl w:val="1"/>
          <w:numId w:val="5"/>
        </w:numPr>
        <w:spacing w:after="57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Nevhodné umístění SOKP z hlediska demografie a územního rozvoje</w:t>
      </w:r>
    </w:p>
    <w:p w:rsidR="008245C8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SOKP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jako součást TEN-T s  kamionovým provozem je veden skrz pražské městské části a obce, kde se očekává největší nárůst počtu obyvatel:</w:t>
      </w:r>
      <w:r>
        <w:rPr>
          <w:sz w:val="24"/>
          <w:szCs w:val="24"/>
        </w:rPr>
        <w:t xml:space="preserve"> Dolní Chabry, Suchdol, Lysolaje, Horoměřice, Ďáblice, Březin</w:t>
      </w:r>
      <w:r w:rsidR="0084240F">
        <w:rPr>
          <w:sz w:val="24"/>
          <w:szCs w:val="24"/>
        </w:rPr>
        <w:t>ěves, Satalice, Vinoř, Čakovice</w:t>
      </w:r>
      <w:r>
        <w:rPr>
          <w:sz w:val="24"/>
          <w:szCs w:val="24"/>
        </w:rPr>
        <w:t xml:space="preserve"> at</w:t>
      </w:r>
      <w:r w:rsidR="0084240F">
        <w:rPr>
          <w:sz w:val="24"/>
          <w:szCs w:val="24"/>
        </w:rPr>
        <w:t>d.</w:t>
      </w:r>
      <w:r>
        <w:rPr>
          <w:sz w:val="24"/>
          <w:szCs w:val="24"/>
        </w:rPr>
        <w:t xml:space="preserve"> Navrhovat trasu dálnice přes sídelní útvary s tendencí dalšího růstu počtu obyvatel je naprosto nevhodné.</w:t>
      </w:r>
    </w:p>
    <w:p w:rsidR="008245C8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Trasa SOKP navíc zabírá cca 30,6 km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zastavitelné plochy pro bytovou a občanskou vybavenost na území hl.</w:t>
      </w:r>
      <w:r w:rsidR="008424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m. Prahy. Vytváří umělou bariéru uvnitř městského organismu, která poruší vzájemné vazby a funkce stávající zástavby. Realizace SOKP </w:t>
      </w:r>
      <w:r w:rsidR="00994D79">
        <w:rPr>
          <w:sz w:val="24"/>
          <w:szCs w:val="24"/>
        </w:rPr>
        <w:t>dle ZÚR pravděpodobně povede k nežádoucí</w:t>
      </w:r>
      <w:r>
        <w:rPr>
          <w:sz w:val="24"/>
          <w:szCs w:val="24"/>
        </w:rPr>
        <w:t xml:space="preserve"> výstavbě logistických, průmyslových a komerčních objektů, což bude mít za následek další nárůst dopravní zátěže a zhoršení životního prostředí v Praze.</w:t>
      </w:r>
      <w:r>
        <w:t xml:space="preserve"> </w:t>
      </w:r>
    </w:p>
    <w:p w:rsidR="008245C8" w:rsidRDefault="008245C8">
      <w:pPr>
        <w:spacing w:after="57" w:line="240" w:lineRule="auto"/>
        <w:jc w:val="both"/>
        <w:rPr>
          <w:rStyle w:val="Internetovodkaz"/>
        </w:rPr>
      </w:pPr>
    </w:p>
    <w:p w:rsidR="008245C8" w:rsidRDefault="00F06ED0">
      <w:pPr>
        <w:pStyle w:val="Odstavecseseznamem"/>
        <w:numPr>
          <w:ilvl w:val="1"/>
          <w:numId w:val="5"/>
        </w:numPr>
        <w:spacing w:after="57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Střety se životním prostředím</w:t>
      </w:r>
    </w:p>
    <w:p w:rsidR="004318FB" w:rsidRPr="00891FC6" w:rsidRDefault="00F06ED0" w:rsidP="004318F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SOKP dle ZÚR </w:t>
      </w:r>
      <w:r w:rsidRPr="004318FB">
        <w:rPr>
          <w:b/>
          <w:bCs/>
          <w:sz w:val="24"/>
          <w:szCs w:val="24"/>
        </w:rPr>
        <w:t>vede v těsné blízkosti či protíná několik přírodních památek, ÚSES a EVL Natura 2000</w:t>
      </w:r>
      <w:r>
        <w:rPr>
          <w:sz w:val="24"/>
          <w:szCs w:val="24"/>
        </w:rPr>
        <w:t xml:space="preserve"> </w:t>
      </w:r>
      <w:r w:rsidRPr="004318FB">
        <w:rPr>
          <w:sz w:val="24"/>
          <w:szCs w:val="24"/>
        </w:rPr>
        <w:t>(Housle, Tiché údolí, Roztocký háj, Sedlecké skály, Kaňon Vltavy</w:t>
      </w:r>
      <w:r w:rsidR="0084240F">
        <w:rPr>
          <w:sz w:val="24"/>
          <w:szCs w:val="24"/>
        </w:rPr>
        <w:t xml:space="preserve"> u Sedlce, Zámky, </w:t>
      </w:r>
      <w:proofErr w:type="spellStart"/>
      <w:proofErr w:type="gramStart"/>
      <w:r w:rsidR="0084240F">
        <w:rPr>
          <w:sz w:val="24"/>
          <w:szCs w:val="24"/>
        </w:rPr>
        <w:t>Drahaň</w:t>
      </w:r>
      <w:proofErr w:type="spellEnd"/>
      <w:proofErr w:type="gramEnd"/>
      <w:r w:rsidR="0084240F">
        <w:rPr>
          <w:sz w:val="24"/>
          <w:szCs w:val="24"/>
        </w:rPr>
        <w:t xml:space="preserve"> -</w:t>
      </w:r>
      <w:proofErr w:type="gramStart"/>
      <w:r w:rsidR="0084240F">
        <w:rPr>
          <w:sz w:val="24"/>
          <w:szCs w:val="24"/>
        </w:rPr>
        <w:t>Troja</w:t>
      </w:r>
      <w:proofErr w:type="gramEnd"/>
      <w:r w:rsidRPr="004318FB">
        <w:rPr>
          <w:sz w:val="24"/>
          <w:szCs w:val="24"/>
        </w:rPr>
        <w:t xml:space="preserve"> atd.). </w:t>
      </w:r>
      <w:r w:rsidR="004318FB" w:rsidRPr="004318FB">
        <w:rPr>
          <w:sz w:val="24"/>
          <w:szCs w:val="24"/>
        </w:rPr>
        <w:t xml:space="preserve">Místa, kterými záměr prochází, jsou zařazena především do kategorií 2 (významná) a 3 (střední), pouze </w:t>
      </w:r>
      <w:r w:rsidR="004318FB" w:rsidRPr="004318FB">
        <w:rPr>
          <w:b/>
          <w:bCs/>
          <w:sz w:val="24"/>
          <w:szCs w:val="24"/>
        </w:rPr>
        <w:t>v údolí Vltavy, v údolí Čimického potoka, v Drahanském údolí a v</w:t>
      </w:r>
      <w:r w:rsidR="00A110E3">
        <w:rPr>
          <w:b/>
          <w:bCs/>
          <w:sz w:val="24"/>
          <w:szCs w:val="24"/>
        </w:rPr>
        <w:t xml:space="preserve"> </w:t>
      </w:r>
      <w:r w:rsidR="004318FB" w:rsidRPr="004318FB">
        <w:rPr>
          <w:b/>
          <w:bCs/>
          <w:sz w:val="24"/>
          <w:szCs w:val="24"/>
        </w:rPr>
        <w:t>navazujících plochách se objevují i místa kategorie 1 (zásadní)</w:t>
      </w:r>
      <w:r w:rsidR="004318FB" w:rsidRPr="004318FB">
        <w:rPr>
          <w:sz w:val="24"/>
          <w:szCs w:val="24"/>
        </w:rPr>
        <w:t>.</w:t>
      </w:r>
      <w:r w:rsidR="004318FB">
        <w:rPr>
          <w:sz w:val="24"/>
          <w:szCs w:val="24"/>
        </w:rPr>
        <w:t xml:space="preserve"> Záměr prochází lokalitami, kde se předpokládá vyšší </w:t>
      </w:r>
      <w:r w:rsidR="00CF1AE5">
        <w:rPr>
          <w:sz w:val="24"/>
          <w:szCs w:val="24"/>
        </w:rPr>
        <w:t>biodiverzita s přítomností chráněných druhů.</w:t>
      </w:r>
    </w:p>
    <w:p w:rsidR="006D2419" w:rsidRDefault="00F06ED0" w:rsidP="006D2419">
      <w:pPr>
        <w:spacing w:after="57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Realizace SOKP bude mít evidentně negativní vliv na uvedené přírodní památky včetně fauny a flóry a omezí jejich rekreační funkci pro obyvatele Prahy. Dle vyjádření České inspekce životního prostředí v rámci procesu EIA 2001-2002 varianta J (úseky 518 a 519) </w:t>
      </w:r>
      <w:r>
        <w:rPr>
          <w:i/>
          <w:sz w:val="24"/>
          <w:szCs w:val="24"/>
        </w:rPr>
        <w:t>„nepřímo zasahuje a dotýká se největšího počtu zvláště chráněných území a omezuje, v některých případech dokonce likviduje, nejvíce stanovišť s výskytem zvláště chráněných druhů živočichů. Z pohledu vlivu na krajinný ráz je rovněž varianta J nepřijatelná,</w:t>
      </w:r>
      <w:r w:rsidR="0084240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…“</w:t>
      </w:r>
      <w:r w:rsidR="0084240F">
        <w:rPr>
          <w:i/>
          <w:sz w:val="24"/>
          <w:szCs w:val="24"/>
        </w:rPr>
        <w:t>.</w:t>
      </w:r>
    </w:p>
    <w:p w:rsidR="006D2419" w:rsidRPr="006D2419" w:rsidRDefault="004318FB" w:rsidP="006D2419">
      <w:pPr>
        <w:spacing w:after="57" w:line="240" w:lineRule="auto"/>
        <w:jc w:val="both"/>
        <w:rPr>
          <w:sz w:val="24"/>
          <w:szCs w:val="24"/>
        </w:rPr>
      </w:pPr>
      <w:r w:rsidRPr="004318F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Provoz na dálničním tělese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D0 </w:t>
      </w:r>
      <w:r w:rsidRPr="004318F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bude trvalým zdrojem nadměrného hluku, emisí a světelného znečištění, což je v přímém rozporu se zájmem chráněného stanoviště.</w:t>
      </w:r>
      <w:r w:rsidR="00CF1AE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CF1AE5">
        <w:rPr>
          <w:b/>
          <w:sz w:val="24"/>
          <w:szCs w:val="24"/>
        </w:rPr>
        <w:t>Celá trasa záměru bude osvětlena a bude tak představovat zdroj tzv. světelného znečištění především u okrajové</w:t>
      </w:r>
      <w:r w:rsidR="00CF1AE5" w:rsidRPr="00CF1AE5">
        <w:rPr>
          <w:b/>
          <w:sz w:val="24"/>
          <w:szCs w:val="24"/>
        </w:rPr>
        <w:t xml:space="preserve"> </w:t>
      </w:r>
      <w:r w:rsidRPr="00CF1AE5">
        <w:rPr>
          <w:b/>
          <w:sz w:val="24"/>
          <w:szCs w:val="24"/>
        </w:rPr>
        <w:t>zástavby nejbližších sídel (</w:t>
      </w:r>
      <w:r w:rsidR="00A9185A">
        <w:rPr>
          <w:b/>
          <w:sz w:val="24"/>
          <w:szCs w:val="24"/>
        </w:rPr>
        <w:t xml:space="preserve">Horoměřice, </w:t>
      </w:r>
      <w:r w:rsidRPr="00CF1AE5">
        <w:rPr>
          <w:b/>
          <w:sz w:val="24"/>
          <w:szCs w:val="24"/>
        </w:rPr>
        <w:t>Suchdol, Bohnice, Čimice, Dolní Chabry, Březiněves)</w:t>
      </w:r>
      <w:r w:rsidRPr="00CF1AE5">
        <w:rPr>
          <w:bCs/>
          <w:sz w:val="24"/>
          <w:szCs w:val="24"/>
        </w:rPr>
        <w:t>,</w:t>
      </w:r>
      <w:r w:rsidRPr="00CF1AE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toto ještě bude</w:t>
      </w:r>
      <w:r w:rsidR="00CF1AE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CF1AE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doplňo</w:t>
      </w:r>
      <w:r w:rsidR="006D241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vat svícení motorových vozidel.</w:t>
      </w:r>
    </w:p>
    <w:p w:rsidR="00CF1AE5" w:rsidRPr="006D2419" w:rsidRDefault="00CF1AE5" w:rsidP="006D2419">
      <w:pPr>
        <w:spacing w:after="57" w:line="240" w:lineRule="auto"/>
        <w:jc w:val="both"/>
        <w:rPr>
          <w:i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Strana 152 oznámení konstatuje, že </w:t>
      </w:r>
      <w:r w:rsidR="0084240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„</w:t>
      </w:r>
      <w:r w:rsidRPr="00CF1AE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Trasa vede silně</w:t>
      </w:r>
      <w:r w:rsidR="0084240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antropogenně pozměněným územím“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</w:t>
      </w:r>
      <w:r w:rsidRPr="00CF1AE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 tímto hodnocením nelze souhlasit. V uvažované lokalitě se dá za silně antropogenně pozměněné území označit pouze skládka směsného odpadu v Ďáblicích. Oblast hal u Zdib a průmyslová lokalita na jihu Dolních </w:t>
      </w:r>
      <w:proofErr w:type="spellStart"/>
      <w:r w:rsidRPr="00CF1AE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Chaber</w:t>
      </w:r>
      <w:proofErr w:type="spellEnd"/>
      <w:r w:rsidRPr="00CF1AE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jsou od uvažované dálniční trasy cca 2 km vzdálené. Jinak se jedná z větší části o přírodní území s lesy, loukami, poli rozdělenými mezemi, chatami, zahrádkářskými koloniemi a stájemi doplněné o obytnou zástavbu povětšinou se zahradami.</w:t>
      </w:r>
    </w:p>
    <w:p w:rsidR="00CF1AE5" w:rsidRDefault="00CF1AE5" w:rsidP="00CF1AE5">
      <w:pPr>
        <w:spacing w:after="0" w:line="240" w:lineRule="auto"/>
        <w:rPr>
          <w:i/>
          <w:sz w:val="24"/>
          <w:szCs w:val="24"/>
        </w:rPr>
      </w:pPr>
    </w:p>
    <w:p w:rsidR="008245C8" w:rsidRDefault="00F06ED0">
      <w:pPr>
        <w:pStyle w:val="Odstavecseseznamem"/>
        <w:numPr>
          <w:ilvl w:val="1"/>
          <w:numId w:val="5"/>
        </w:numPr>
        <w:spacing w:after="57" w:line="240" w:lineRule="auto"/>
        <w:jc w:val="both"/>
        <w:rPr>
          <w:rFonts w:ascii="Calibri" w:hAnsi="Calibri"/>
          <w:b/>
        </w:rPr>
      </w:pPr>
      <w:r>
        <w:rPr>
          <w:b/>
          <w:sz w:val="24"/>
          <w:szCs w:val="24"/>
        </w:rPr>
        <w:t>Zhoršení životních podmínek v již zatížených lokalitách</w:t>
      </w:r>
    </w:p>
    <w:p w:rsidR="006D7B93" w:rsidRDefault="00F06ED0" w:rsidP="00EE2896">
      <w:pPr>
        <w:spacing w:after="57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sz w:val="24"/>
          <w:szCs w:val="24"/>
        </w:rPr>
        <w:t xml:space="preserve">Městské části a obce na severu Prahy, na jejichž území má vést trasa SOKP, jsou již </w:t>
      </w:r>
      <w:r>
        <w:rPr>
          <w:b/>
          <w:sz w:val="24"/>
          <w:szCs w:val="24"/>
        </w:rPr>
        <w:t>v současnosti silně zatíženy leteckou dopravou</w:t>
      </w:r>
      <w:r>
        <w:rPr>
          <w:sz w:val="24"/>
          <w:szCs w:val="24"/>
        </w:rPr>
        <w:t xml:space="preserve">, přičemž dochází k překračování hygienických limitů hluku. V případě realizace paralelní dráhy by se situace nadále zhoršila. </w:t>
      </w:r>
      <w:r w:rsidR="00EE2896">
        <w:rPr>
          <w:rFonts w:ascii="Calibri" w:hAnsi="Calibri"/>
          <w:sz w:val="24"/>
          <w:szCs w:val="24"/>
        </w:rPr>
        <w:t>Naopak je zapotřebí odvést tranzit mimo území hl.</w:t>
      </w:r>
      <w:r w:rsidR="0084240F">
        <w:rPr>
          <w:rFonts w:ascii="Calibri" w:hAnsi="Calibri"/>
          <w:sz w:val="24"/>
          <w:szCs w:val="24"/>
        </w:rPr>
        <w:t xml:space="preserve"> </w:t>
      </w:r>
      <w:r w:rsidR="00EE2896">
        <w:rPr>
          <w:rFonts w:ascii="Calibri" w:hAnsi="Calibri"/>
          <w:sz w:val="24"/>
          <w:szCs w:val="24"/>
        </w:rPr>
        <w:t xml:space="preserve">m. Prahy. </w:t>
      </w:r>
      <w:r w:rsidR="00EE2896" w:rsidRPr="006643BC">
        <w:rPr>
          <w:rFonts w:eastAsia="Times New Roman" w:cstheme="minorHAnsi"/>
          <w:sz w:val="24"/>
          <w:szCs w:val="24"/>
          <w:lang w:eastAsia="cs-CZ"/>
        </w:rPr>
        <w:t xml:space="preserve">Z dokumentace vyplývá </w:t>
      </w:r>
      <w:r w:rsidR="00EE2896" w:rsidRPr="006643BC">
        <w:rPr>
          <w:rFonts w:eastAsia="Times New Roman" w:cstheme="minorHAnsi"/>
          <w:i/>
          <w:iCs/>
          <w:sz w:val="24"/>
          <w:szCs w:val="24"/>
          <w:lang w:eastAsia="cs-CZ"/>
        </w:rPr>
        <w:t xml:space="preserve">nadlimitní imisní i hluková zátěž – nepřípustné nadlimitní hodnoty karcinogenní látky </w:t>
      </w:r>
      <w:proofErr w:type="spellStart"/>
      <w:r w:rsidR="00EE2896" w:rsidRPr="006643BC">
        <w:rPr>
          <w:rFonts w:eastAsia="Times New Roman" w:cstheme="minorHAnsi"/>
          <w:i/>
          <w:iCs/>
          <w:sz w:val="24"/>
          <w:szCs w:val="24"/>
          <w:lang w:eastAsia="cs-CZ"/>
        </w:rPr>
        <w:t>benzo</w:t>
      </w:r>
      <w:proofErr w:type="spellEnd"/>
      <w:r w:rsidR="00EE2896" w:rsidRPr="006643BC">
        <w:rPr>
          <w:rFonts w:eastAsia="Times New Roman" w:cstheme="minorHAnsi"/>
          <w:i/>
          <w:iCs/>
          <w:sz w:val="24"/>
          <w:szCs w:val="24"/>
          <w:lang w:eastAsia="cs-CZ"/>
        </w:rPr>
        <w:t>(a)pyrenu</w:t>
      </w:r>
      <w:r w:rsidR="00EE2896" w:rsidRPr="006643BC">
        <w:rPr>
          <w:rFonts w:eastAsia="Times New Roman" w:cstheme="minorHAnsi"/>
          <w:sz w:val="24"/>
          <w:szCs w:val="24"/>
          <w:lang w:eastAsia="cs-CZ"/>
        </w:rPr>
        <w:t>, ale i hluku budou dále zhoršeny nad rámec zákonných předpisů vsazením dalšího zdroje znečištění. Provoz</w:t>
      </w:r>
      <w:r w:rsidR="00EE2896">
        <w:rPr>
          <w:rFonts w:eastAsia="Times New Roman" w:cstheme="minorHAnsi"/>
          <w:sz w:val="24"/>
          <w:szCs w:val="24"/>
          <w:lang w:eastAsia="cs-CZ"/>
        </w:rPr>
        <w:t xml:space="preserve"> SOKP 519</w:t>
      </w:r>
      <w:r w:rsidR="00EE2896" w:rsidRPr="006643BC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E2896" w:rsidRPr="006643BC">
        <w:rPr>
          <w:rFonts w:eastAsia="Times New Roman" w:cstheme="minorHAnsi"/>
          <w:sz w:val="24"/>
          <w:szCs w:val="24"/>
          <w:lang w:eastAsia="cs-CZ"/>
        </w:rPr>
        <w:lastRenderedPageBreak/>
        <w:t xml:space="preserve">vyvolá v daném prostředí dopravu nepřiměřenou svým druhem v této lokalitě a z ní plynoucí negativní dopady na zdraví občanů a zhoršení kvality prostředí nad rámec zákonných předpisů. </w:t>
      </w:r>
    </w:p>
    <w:p w:rsidR="00EE2896" w:rsidRDefault="006D7B93" w:rsidP="00EE2896">
      <w:pPr>
        <w:spacing w:after="57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Jak vyplývá z tabulky na str. 20 přílohy Vyhodnocení vlivů znečištění ovzduší na veřejné zdraví oblast Dolních</w:t>
      </w:r>
      <w:r w:rsidR="0084240F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84240F">
        <w:rPr>
          <w:rFonts w:eastAsia="Times New Roman" w:cstheme="minorHAnsi"/>
          <w:sz w:val="24"/>
          <w:szCs w:val="24"/>
          <w:lang w:eastAsia="cs-CZ"/>
        </w:rPr>
        <w:t>Chaber</w:t>
      </w:r>
      <w:proofErr w:type="spellEnd"/>
      <w:r w:rsidR="0084240F">
        <w:rPr>
          <w:rFonts w:eastAsia="Times New Roman" w:cstheme="minorHAnsi"/>
          <w:sz w:val="24"/>
          <w:szCs w:val="24"/>
          <w:lang w:eastAsia="cs-CZ"/>
        </w:rPr>
        <w:t xml:space="preserve"> má být vystavena 18</w:t>
      </w:r>
      <w:r>
        <w:rPr>
          <w:rFonts w:eastAsia="Times New Roman" w:cstheme="minorHAnsi"/>
          <w:sz w:val="24"/>
          <w:szCs w:val="24"/>
          <w:lang w:eastAsia="cs-CZ"/>
        </w:rPr>
        <w:t>násobnému nárůstu imisní zátěže a míry zdravotního rizika z expozice benz</w:t>
      </w:r>
      <w:r w:rsidR="00B05119">
        <w:rPr>
          <w:rFonts w:eastAsia="Times New Roman" w:cstheme="minorHAnsi"/>
          <w:sz w:val="24"/>
          <w:szCs w:val="24"/>
          <w:lang w:eastAsia="cs-CZ"/>
        </w:rPr>
        <w:t>enu</w:t>
      </w:r>
      <w:r>
        <w:rPr>
          <w:rFonts w:eastAsia="Times New Roman" w:cstheme="minorHAnsi"/>
          <w:sz w:val="24"/>
          <w:szCs w:val="24"/>
          <w:lang w:eastAsia="cs-CZ"/>
        </w:rPr>
        <w:t>. Takové d</w:t>
      </w:r>
      <w:r w:rsidR="00EE2896" w:rsidRPr="006643BC">
        <w:rPr>
          <w:rFonts w:eastAsia="Times New Roman" w:cstheme="minorHAnsi"/>
          <w:sz w:val="24"/>
          <w:szCs w:val="24"/>
          <w:lang w:eastAsia="cs-CZ"/>
        </w:rPr>
        <w:t>alší zhoršování situace považuj</w:t>
      </w:r>
      <w:r w:rsidR="001946C9">
        <w:rPr>
          <w:rFonts w:eastAsia="Times New Roman" w:cstheme="minorHAnsi"/>
          <w:sz w:val="24"/>
          <w:szCs w:val="24"/>
          <w:lang w:eastAsia="cs-CZ"/>
        </w:rPr>
        <w:t>i</w:t>
      </w:r>
      <w:r w:rsidR="00EE289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E2896" w:rsidRPr="006643BC">
        <w:rPr>
          <w:rFonts w:eastAsia="Times New Roman" w:cstheme="minorHAnsi"/>
          <w:sz w:val="24"/>
          <w:szCs w:val="24"/>
          <w:lang w:eastAsia="cs-CZ"/>
        </w:rPr>
        <w:t>za nepřijatelné.</w:t>
      </w:r>
    </w:p>
    <w:p w:rsidR="006D7B93" w:rsidRDefault="006D7B93" w:rsidP="00EE2896">
      <w:pPr>
        <w:spacing w:after="57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8245C8" w:rsidRDefault="00F06ED0">
      <w:pPr>
        <w:pStyle w:val="Odstavecseseznamem"/>
        <w:numPr>
          <w:ilvl w:val="1"/>
          <w:numId w:val="5"/>
        </w:numPr>
        <w:spacing w:after="57" w:line="240" w:lineRule="auto"/>
        <w:jc w:val="both"/>
        <w:rPr>
          <w:b/>
        </w:rPr>
      </w:pPr>
      <w:r>
        <w:rPr>
          <w:b/>
          <w:sz w:val="24"/>
          <w:szCs w:val="24"/>
        </w:rPr>
        <w:t>Neudržitelná dopravní situace</w:t>
      </w:r>
    </w:p>
    <w:p w:rsidR="008245C8" w:rsidRDefault="00F06ED0">
      <w:pPr>
        <w:spacing w:after="57" w:line="240" w:lineRule="auto"/>
        <w:jc w:val="both"/>
        <w:rPr>
          <w:rFonts w:ascii="Calibri" w:hAnsi="Calibri"/>
        </w:rPr>
      </w:pPr>
      <w:r>
        <w:rPr>
          <w:sz w:val="24"/>
          <w:szCs w:val="24"/>
        </w:rPr>
        <w:t xml:space="preserve">Praha nebude schopna absorbovat veškerou tranzitní a kamionovou dopravu z 9 dálnic napojených na Pražský okruh. Podle dostupných prognóz je zřejmé, že </w:t>
      </w:r>
      <w:r>
        <w:rPr>
          <w:b/>
          <w:sz w:val="24"/>
          <w:szCs w:val="24"/>
        </w:rPr>
        <w:t>několik úseků SOKP včetně radiál bude kapacitně nevyhovujících a bude zde docházet k vážným dopravním komplikacím</w:t>
      </w:r>
      <w:r>
        <w:rPr>
          <w:sz w:val="24"/>
          <w:szCs w:val="24"/>
        </w:rPr>
        <w:t xml:space="preserve">, což se může projevit negativně i na dalších komunikacích uvnitř Prahy. Podle studie ČVUT má dojít k výraznému nárůstu dopravy a přetížení zejména severních radiál/přivaděčů (Horoměřická, Kamýcká, Čimická) a také </w:t>
      </w:r>
      <w:r w:rsidR="006F2DE0">
        <w:rPr>
          <w:sz w:val="24"/>
          <w:szCs w:val="24"/>
        </w:rPr>
        <w:t xml:space="preserve">na </w:t>
      </w:r>
      <w:r>
        <w:rPr>
          <w:sz w:val="24"/>
          <w:szCs w:val="24"/>
        </w:rPr>
        <w:t>stávající</w:t>
      </w:r>
      <w:r w:rsidR="006F2DE0">
        <w:rPr>
          <w:sz w:val="24"/>
          <w:szCs w:val="24"/>
        </w:rPr>
        <w:t>m</w:t>
      </w:r>
      <w:r>
        <w:rPr>
          <w:sz w:val="24"/>
          <w:szCs w:val="24"/>
        </w:rPr>
        <w:t xml:space="preserve"> úsek</w:t>
      </w:r>
      <w:r w:rsidR="006F2DE0">
        <w:rPr>
          <w:sz w:val="24"/>
          <w:szCs w:val="24"/>
        </w:rPr>
        <w:t>u</w:t>
      </w:r>
      <w:r>
        <w:rPr>
          <w:sz w:val="24"/>
          <w:szCs w:val="24"/>
        </w:rPr>
        <w:t xml:space="preserve"> SOKP 517 (Řepy – Ruzyně), kde má jezdit výhledově cca 121 000 vozide</w:t>
      </w:r>
      <w:r w:rsidR="009F7B25">
        <w:rPr>
          <w:sz w:val="24"/>
          <w:szCs w:val="24"/>
        </w:rPr>
        <w:t>l včetně cca 19 000 nákladních.</w:t>
      </w:r>
      <w:r>
        <w:rPr>
          <w:sz w:val="24"/>
          <w:szCs w:val="24"/>
        </w:rPr>
        <w:t xml:space="preserve"> Podle podkladů k řešení Vítězného náměstí a KES</w:t>
      </w:r>
      <w:r w:rsidR="00016E2B">
        <w:rPr>
          <w:sz w:val="24"/>
          <w:szCs w:val="24"/>
        </w:rPr>
        <w:t xml:space="preserve"> (Komunikace </w:t>
      </w:r>
      <w:proofErr w:type="spellStart"/>
      <w:r w:rsidR="00016E2B">
        <w:rPr>
          <w:sz w:val="24"/>
          <w:szCs w:val="24"/>
        </w:rPr>
        <w:t>Evropská-Svatovítská</w:t>
      </w:r>
      <w:proofErr w:type="spellEnd"/>
      <w:r w:rsidR="00016E2B">
        <w:rPr>
          <w:sz w:val="24"/>
          <w:szCs w:val="24"/>
        </w:rPr>
        <w:t>)</w:t>
      </w:r>
      <w:r>
        <w:rPr>
          <w:sz w:val="24"/>
          <w:szCs w:val="24"/>
        </w:rPr>
        <w:t xml:space="preserve"> má dojít k výraznému nárůstu dopravy v ose sever – jih (Jugoslávských partyzánů, Vítězné náměstí a Svatovítská) právě v souvislosti se zprovozněním úseku SOKP 518 a 519 a přivaděčem Rybářka. Lze tedy konstatovat, že SOKP v jižní variantě nejenže této centrální části Prahy 6 nepomůže, ale situaci naopak zhorší.</w:t>
      </w:r>
    </w:p>
    <w:p w:rsidR="008245C8" w:rsidRDefault="00F06ED0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Navíc je výrazně </w:t>
      </w:r>
      <w:r>
        <w:rPr>
          <w:b/>
          <w:sz w:val="24"/>
          <w:szCs w:val="24"/>
        </w:rPr>
        <w:t>podceněn jev dopravní indukce na stávajících komunikacích.</w:t>
      </w:r>
      <w:r>
        <w:rPr>
          <w:sz w:val="24"/>
          <w:szCs w:val="24"/>
        </w:rPr>
        <w:t xml:space="preserve"> </w:t>
      </w:r>
    </w:p>
    <w:p w:rsidR="008245C8" w:rsidRPr="001946C9" w:rsidRDefault="00F06ED0">
      <w:pPr>
        <w:spacing w:after="57" w:line="240" w:lineRule="auto"/>
        <w:jc w:val="both"/>
        <w:rPr>
          <w:sz w:val="24"/>
          <w:szCs w:val="24"/>
        </w:rPr>
      </w:pPr>
      <w:r w:rsidRPr="001946C9">
        <w:rPr>
          <w:sz w:val="24"/>
          <w:szCs w:val="24"/>
        </w:rPr>
        <w:t>Příklad z Prahy: V roce 2010 byla otevřena jižní část SOKP a očekával se výrazný pokles dopravy na Barrandovském mostě. Během pár let na tomto úseku MO však došlo k prudkému nárůstu dopravní zátěže a v roce 2018 byl Barrandovský most nejvytíženější komunikací v Praze (</w:t>
      </w:r>
      <w:r w:rsidR="007922C5">
        <w:rPr>
          <w:sz w:val="24"/>
          <w:szCs w:val="24"/>
        </w:rPr>
        <w:t>intenzita dopravy 144 400 vozidel/den</w:t>
      </w:r>
      <w:r w:rsidRPr="001946C9">
        <w:rPr>
          <w:sz w:val="24"/>
          <w:szCs w:val="24"/>
        </w:rPr>
        <w:t xml:space="preserve"> dle TSK 2018). Podobný scénář může nastat v TKB po zprovoznění severní části okruhu (518, 519).</w:t>
      </w:r>
    </w:p>
    <w:p w:rsidR="001946C9" w:rsidRPr="006D2419" w:rsidRDefault="001946C9" w:rsidP="006D2419">
      <w:pPr>
        <w:spacing w:after="57" w:line="240" w:lineRule="auto"/>
        <w:jc w:val="both"/>
        <w:rPr>
          <w:sz w:val="24"/>
          <w:szCs w:val="24"/>
        </w:rPr>
      </w:pPr>
      <w:r w:rsidRPr="006D2419">
        <w:rPr>
          <w:sz w:val="24"/>
          <w:szCs w:val="24"/>
        </w:rPr>
        <w:t xml:space="preserve">Dopravní studie nehodnotí vliv dopravních nehod v kombinaci s uzavíráním provozu v tunelech na SOKP a MÚK, což vede k přelévání dopravy do sousedních komunikací a k nárůstu emisí jak na dálničním tělese, tak i na komunikacích v blízkosti zástavby. Bylo by vhodné provést porovnání na základě zkušeností z provozu na jižní části okruhu (Lochkovský a Komořanský tunel) a zároveň uvažovat s variantním vedením </w:t>
      </w:r>
      <w:proofErr w:type="spellStart"/>
      <w:r w:rsidRPr="006D2419">
        <w:rPr>
          <w:sz w:val="24"/>
          <w:szCs w:val="24"/>
        </w:rPr>
        <w:t>Ss</w:t>
      </w:r>
      <w:proofErr w:type="spellEnd"/>
      <w:r w:rsidRPr="006D2419">
        <w:rPr>
          <w:sz w:val="24"/>
          <w:szCs w:val="24"/>
        </w:rPr>
        <w:t xml:space="preserve">, které nevyžaduje </w:t>
      </w:r>
      <w:r w:rsidR="00651A5A" w:rsidRPr="006D2419">
        <w:rPr>
          <w:sz w:val="24"/>
          <w:szCs w:val="24"/>
        </w:rPr>
        <w:t>dlouhé tunelové úseky</w:t>
      </w:r>
      <w:r w:rsidRPr="006D2419">
        <w:rPr>
          <w:sz w:val="24"/>
          <w:szCs w:val="24"/>
        </w:rPr>
        <w:t xml:space="preserve"> a kde lze </w:t>
      </w:r>
      <w:r w:rsidR="00F2423D" w:rsidRPr="006D2419">
        <w:rPr>
          <w:sz w:val="24"/>
          <w:szCs w:val="24"/>
        </w:rPr>
        <w:t>předpokládat plynulejší provoz.</w:t>
      </w:r>
    </w:p>
    <w:p w:rsidR="008245C8" w:rsidRDefault="008245C8">
      <w:pPr>
        <w:spacing w:after="57" w:line="240" w:lineRule="auto"/>
        <w:jc w:val="both"/>
        <w:rPr>
          <w:rFonts w:ascii="Calibri" w:hAnsi="Calibri"/>
          <w:b/>
          <w:sz w:val="24"/>
          <w:szCs w:val="24"/>
          <w:u w:val="single"/>
        </w:rPr>
      </w:pPr>
    </w:p>
    <w:p w:rsidR="008245C8" w:rsidRDefault="00F06ED0">
      <w:pPr>
        <w:pStyle w:val="Odstavecseseznamem"/>
        <w:keepNext/>
        <w:numPr>
          <w:ilvl w:val="1"/>
          <w:numId w:val="5"/>
        </w:numPr>
        <w:spacing w:after="57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Rozpor s klimatickým závazkem Prahy </w:t>
      </w:r>
    </w:p>
    <w:p w:rsidR="008245C8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červnu 2019 přijalo zastupitelstvo HLMP klimatický závazek s cílem snížit emise CO</w:t>
      </w:r>
      <w:r w:rsidRPr="007922C5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v hlavním městě o minimálně 45 % do roku 2030 (oproti roku 2010) a dosáhnout nulových emisí CO</w:t>
      </w:r>
      <w:r w:rsidR="007922C5" w:rsidRPr="007922C5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nejpozději do roku 2050.</w:t>
      </w:r>
      <w:r w:rsidR="006A26D0">
        <w:rPr>
          <w:rFonts w:ascii="Calibri" w:hAnsi="Calibri"/>
          <w:sz w:val="24"/>
          <w:szCs w:val="24"/>
        </w:rPr>
        <w:t xml:space="preserve"> </w:t>
      </w:r>
      <w:r>
        <w:rPr>
          <w:sz w:val="24"/>
          <w:szCs w:val="24"/>
        </w:rPr>
        <w:t>Výstavba a provoz dálničního okruhu skrz Prahu</w:t>
      </w:r>
      <w:r w:rsidR="009F22EE">
        <w:rPr>
          <w:sz w:val="24"/>
          <w:szCs w:val="24"/>
        </w:rPr>
        <w:t xml:space="preserve"> v jižní variantě naopak povede </w:t>
      </w:r>
      <w:r>
        <w:rPr>
          <w:sz w:val="24"/>
          <w:szCs w:val="24"/>
        </w:rPr>
        <w:t xml:space="preserve">k obrovskému nárůstu emisí skleníkových plynů. V dopravně inženýrských podkladech je potvrzen velký nárůst dopravních výkonů IAD a kamionů v souvislosti s nabídkou nové silniční kapacity, což </w:t>
      </w:r>
      <w:r w:rsidR="00FF000F">
        <w:rPr>
          <w:sz w:val="24"/>
          <w:szCs w:val="24"/>
        </w:rPr>
        <w:t xml:space="preserve">bude </w:t>
      </w:r>
      <w:r>
        <w:rPr>
          <w:sz w:val="24"/>
          <w:szCs w:val="24"/>
        </w:rPr>
        <w:t>mít negativní dopad na celkové klima.</w:t>
      </w:r>
    </w:p>
    <w:p w:rsidR="00434FBB" w:rsidRDefault="00434FBB">
      <w:pPr>
        <w:spacing w:after="57" w:line="240" w:lineRule="auto"/>
        <w:jc w:val="both"/>
        <w:rPr>
          <w:sz w:val="24"/>
          <w:szCs w:val="24"/>
        </w:rPr>
      </w:pPr>
    </w:p>
    <w:p w:rsidR="00434FBB" w:rsidRDefault="00434FBB" w:rsidP="00434FBB">
      <w:pPr>
        <w:pStyle w:val="Odstavecseseznamem"/>
        <w:keepNext/>
        <w:numPr>
          <w:ilvl w:val="1"/>
          <w:numId w:val="5"/>
        </w:numPr>
        <w:spacing w:after="57" w:line="240" w:lineRule="auto"/>
        <w:jc w:val="both"/>
        <w:rPr>
          <w:rFonts w:ascii="Calibri" w:hAnsi="Calibri"/>
          <w:b/>
          <w:bCs/>
          <w:sz w:val="24"/>
          <w:szCs w:val="24"/>
        </w:rPr>
      </w:pPr>
      <w:r w:rsidRPr="00434FBB">
        <w:rPr>
          <w:rFonts w:ascii="Calibri" w:hAnsi="Calibri"/>
          <w:b/>
          <w:bCs/>
          <w:sz w:val="24"/>
          <w:szCs w:val="24"/>
        </w:rPr>
        <w:t>Rozpor s účelem a cílem Příměstského parku Trojská kotlina</w:t>
      </w:r>
      <w:r>
        <w:rPr>
          <w:rFonts w:ascii="Calibri" w:hAnsi="Calibri"/>
          <w:b/>
          <w:bCs/>
          <w:sz w:val="24"/>
          <w:szCs w:val="24"/>
        </w:rPr>
        <w:t>, z. s.</w:t>
      </w:r>
    </w:p>
    <w:p w:rsidR="009F7B25" w:rsidRDefault="00434FBB" w:rsidP="001716A4">
      <w:pPr>
        <w:spacing w:after="57" w:line="240" w:lineRule="auto"/>
        <w:jc w:val="both"/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cs-CZ"/>
        </w:rPr>
      </w:pPr>
      <w:r w:rsidRPr="00434FBB">
        <w:rPr>
          <w:rFonts w:cstheme="minorHAnsi"/>
          <w:sz w:val="24"/>
          <w:szCs w:val="24"/>
        </w:rPr>
        <w:t>Rada hl. m. Prahy schválila plán Příměstského parku Trojská kotlina. Na jeho základě</w:t>
      </w:r>
      <w:r w:rsidR="009F7B25">
        <w:rPr>
          <w:rFonts w:cstheme="minorHAnsi"/>
          <w:sz w:val="24"/>
          <w:szCs w:val="24"/>
        </w:rPr>
        <w:t xml:space="preserve"> vznikl spolek Příměstský park T</w:t>
      </w:r>
      <w:r w:rsidRPr="00434FBB">
        <w:rPr>
          <w:rFonts w:cstheme="minorHAnsi"/>
          <w:sz w:val="24"/>
          <w:szCs w:val="24"/>
        </w:rPr>
        <w:t xml:space="preserve">rojská kotlina, z. </w:t>
      </w:r>
      <w:proofErr w:type="gramStart"/>
      <w:r w:rsidRPr="00434FBB">
        <w:rPr>
          <w:rFonts w:cstheme="minorHAnsi"/>
          <w:sz w:val="24"/>
          <w:szCs w:val="24"/>
        </w:rPr>
        <w:t>s.</w:t>
      </w:r>
      <w:proofErr w:type="gramEnd"/>
      <w:r w:rsidRPr="00434FBB">
        <w:rPr>
          <w:rFonts w:cstheme="minorHAnsi"/>
          <w:sz w:val="24"/>
          <w:szCs w:val="24"/>
        </w:rPr>
        <w:t xml:space="preserve">, který </w:t>
      </w:r>
      <w:r w:rsidRPr="00434FBB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cs-CZ"/>
        </w:rPr>
        <w:t>sdružuje městské části hlavního města Prahy a další právnické či fyzické osoby mající zájem na trvale udržitelném rozvoji území hlavního města Prahy vymezeném lokalitou Trojské kotliny při využití jejíh</w:t>
      </w:r>
      <w:r w:rsidR="009F7B2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cs-CZ"/>
        </w:rPr>
        <w:t>o environmentálního potenciálu.</w:t>
      </w:r>
    </w:p>
    <w:p w:rsidR="00434FBB" w:rsidRPr="00434FBB" w:rsidRDefault="00434FBB" w:rsidP="001716A4">
      <w:pPr>
        <w:spacing w:after="57" w:line="240" w:lineRule="auto"/>
        <w:jc w:val="both"/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cs-CZ"/>
        </w:rPr>
      </w:pPr>
      <w:r w:rsidRPr="00434FBB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cs-CZ"/>
        </w:rPr>
        <w:t xml:space="preserve">Základním účelem a cílem spolku je naplňování společného zájmu, </w:t>
      </w:r>
      <w:r w:rsidRPr="00434FBB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 xml:space="preserve">kterým je péče, rozvoj a ochrana přírody a krajiny v lokalitě Trojské kotliny v hlavním městě Praze a jejím blízkém okolí, které odpovídají rekreačnímu a přírodnímu významu a potenciálu lokality, včetně podpory </w:t>
      </w:r>
      <w:r w:rsidRPr="00434FBB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lastRenderedPageBreak/>
        <w:t>biodiverzity a rozvoje ekosystémových služeb dané lokality budování identity lokality Trojské kotliny</w:t>
      </w:r>
      <w:r w:rsidR="00487E47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; p</w:t>
      </w:r>
      <w:r w:rsidRPr="00434FBB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odpora kulturně historického dědictví d</w:t>
      </w:r>
      <w:r w:rsidR="00487E47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ané lokality a jejich propagace;</w:t>
      </w:r>
      <w:r w:rsidRPr="00434FBB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r w:rsidR="00487E47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cs-CZ"/>
        </w:rPr>
        <w:t>t</w:t>
      </w:r>
      <w:r w:rsidRPr="001946C9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cs-CZ"/>
        </w:rPr>
        <w:t xml:space="preserve">rvale udržitelný a ekologicky a urbanisticky citlivý rozvoj lokality Trojské kotliny a vytvoření udržitelné koncepce rozvoje lokality Trojské kotliny jako příměstského parku a </w:t>
      </w:r>
      <w:r w:rsidRPr="00434FBB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cs-CZ"/>
        </w:rPr>
        <w:t>podpora implementace opatření, strategií a politik ochrany přírodního rázu krajiny při jejím využití u lokality Trojské kotliny jako příměstského parku pro obyvatele a návštěvníky hlavního města Prahy.</w:t>
      </w:r>
    </w:p>
    <w:p w:rsidR="008245C8" w:rsidRPr="00CB45F7" w:rsidRDefault="00434FBB" w:rsidP="007922C5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46C9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cs-CZ"/>
        </w:rPr>
        <w:t xml:space="preserve">Domnívám se, že výstavba mostu přes Vltavu s předpokládanou </w:t>
      </w:r>
      <w:r w:rsidR="007922C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cs-CZ"/>
        </w:rPr>
        <w:t>intenzitou</w:t>
      </w:r>
      <w:r w:rsidRPr="001946C9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cs-CZ"/>
        </w:rPr>
        <w:t xml:space="preserve"> automobilové dopravy </w:t>
      </w:r>
      <w:r w:rsidRPr="001946C9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100 200 vozidel denně</w:t>
      </w:r>
      <w:r w:rsidRPr="001946C9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cs-CZ"/>
        </w:rPr>
        <w:t>, z čehož je 11</w:t>
      </w:r>
      <w:r w:rsidR="001946C9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cs-CZ"/>
        </w:rPr>
        <w:t> </w:t>
      </w:r>
      <w:r w:rsidRPr="001946C9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cs-CZ"/>
        </w:rPr>
        <w:t>700</w:t>
      </w:r>
      <w:r w:rsidR="001946C9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cs-CZ"/>
        </w:rPr>
        <w:t xml:space="preserve"> kamionů</w:t>
      </w:r>
      <w:r w:rsidRPr="001946C9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cs-CZ"/>
        </w:rPr>
        <w:t xml:space="preserve">, je v příkrém rozporu se závazky spolku, neboť most, který je součástí dálniční sítě, celou oblast naopak silně narušuje. </w:t>
      </w:r>
    </w:p>
    <w:p w:rsidR="008245C8" w:rsidRPr="00CB3B66" w:rsidRDefault="00F06ED0" w:rsidP="00CB45F7">
      <w:pPr>
        <w:pStyle w:val="Nadpis1"/>
        <w:rPr>
          <w:rFonts w:asciiTheme="minorHAnsi" w:hAnsiTheme="minorHAnsi"/>
          <w:color w:val="auto"/>
          <w:sz w:val="36"/>
          <w:szCs w:val="36"/>
        </w:rPr>
      </w:pPr>
      <w:r w:rsidRPr="00CB3B66">
        <w:rPr>
          <w:rFonts w:asciiTheme="minorHAnsi" w:hAnsiTheme="minorHAnsi"/>
          <w:color w:val="auto"/>
          <w:sz w:val="36"/>
          <w:szCs w:val="36"/>
        </w:rPr>
        <w:t xml:space="preserve">2. Požadavky pro posuzování záměru </w:t>
      </w:r>
    </w:p>
    <w:p w:rsidR="008245C8" w:rsidRDefault="00F06ED0">
      <w:pPr>
        <w:spacing w:after="57" w:line="240" w:lineRule="auto"/>
        <w:jc w:val="both"/>
      </w:pPr>
      <w:r>
        <w:rPr>
          <w:sz w:val="24"/>
          <w:szCs w:val="24"/>
        </w:rPr>
        <w:t xml:space="preserve">Požaduji, aby záměr byl posuzován podle zákona č. 100/2001 Sb. o posuzování vlivů na životní prostředí a o změně některých souvisejících zákonů a byla vypracována dokumentace dle § 8 citovaného zákona, a to </w:t>
      </w:r>
      <w:r>
        <w:rPr>
          <w:b/>
          <w:sz w:val="24"/>
          <w:szCs w:val="24"/>
        </w:rPr>
        <w:t>variantně</w:t>
      </w:r>
      <w:r>
        <w:rPr>
          <w:sz w:val="24"/>
          <w:szCs w:val="24"/>
        </w:rPr>
        <w:t>.</w:t>
      </w:r>
    </w:p>
    <w:p w:rsidR="008245C8" w:rsidRDefault="008245C8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8245C8" w:rsidRDefault="00F06ED0">
      <w:pPr>
        <w:pStyle w:val="Odstavecseseznamem"/>
        <w:numPr>
          <w:ilvl w:val="1"/>
          <w:numId w:val="6"/>
        </w:numPr>
        <w:spacing w:after="57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Posouzení variant SOKP v severozápadním segmentu pražské aglomerace</w:t>
      </w:r>
    </w:p>
    <w:p w:rsidR="008245C8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Požaduji posouzení </w:t>
      </w:r>
      <w:r>
        <w:rPr>
          <w:b/>
          <w:sz w:val="24"/>
          <w:szCs w:val="24"/>
        </w:rPr>
        <w:t xml:space="preserve">více variant SOKP v severozápadním segmentu včetně varianty regionální (tzv. severní). </w:t>
      </w:r>
    </w:p>
    <w:p w:rsidR="008245C8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letech 2001 – 2002 bylo v rámci procesu EIA posuzováno 5 variant. </w:t>
      </w:r>
      <w:r>
        <w:rPr>
          <w:b/>
          <w:sz w:val="24"/>
          <w:szCs w:val="24"/>
        </w:rPr>
        <w:t>Mnoho veřejných institucí</w:t>
      </w:r>
      <w:r>
        <w:rPr>
          <w:sz w:val="24"/>
          <w:szCs w:val="24"/>
        </w:rPr>
        <w:t xml:space="preserve"> (např. Česká inspekce životního prostředí, odbor ochrany ovzduší MŽP, odbor životního prostředí magistrátu HMP, Ministerstvo zemědělství (odbor lesů), Středo</w:t>
      </w:r>
      <w:r w:rsidR="0084240F">
        <w:rPr>
          <w:sz w:val="24"/>
          <w:szCs w:val="24"/>
        </w:rPr>
        <w:t>český kraj, zpracovatel posudku</w:t>
      </w:r>
      <w:r>
        <w:rPr>
          <w:sz w:val="24"/>
          <w:szCs w:val="24"/>
        </w:rPr>
        <w:t xml:space="preserve"> atd.) </w:t>
      </w:r>
      <w:r>
        <w:rPr>
          <w:b/>
          <w:sz w:val="24"/>
          <w:szCs w:val="24"/>
        </w:rPr>
        <w:t xml:space="preserve">doporučilo jako vhodnější variantu </w:t>
      </w:r>
      <w:proofErr w:type="spellStart"/>
      <w:r>
        <w:rPr>
          <w:b/>
          <w:sz w:val="24"/>
          <w:szCs w:val="24"/>
        </w:rPr>
        <w:t>Ss</w:t>
      </w:r>
      <w:proofErr w:type="spellEnd"/>
      <w:r>
        <w:rPr>
          <w:sz w:val="24"/>
          <w:szCs w:val="24"/>
        </w:rPr>
        <w:t xml:space="preserve">. Ministerstvo životního prostředí ve svém stanovisku z 30. 4. 2002 doporučilo jako vhodnější variantu </w:t>
      </w:r>
      <w:proofErr w:type="spellStart"/>
      <w:r>
        <w:rPr>
          <w:sz w:val="24"/>
          <w:szCs w:val="24"/>
        </w:rPr>
        <w:t>Ss</w:t>
      </w:r>
      <w:proofErr w:type="spellEnd"/>
      <w:r>
        <w:rPr>
          <w:sz w:val="24"/>
          <w:szCs w:val="24"/>
        </w:rPr>
        <w:t>, zatímco J byla připuštěna jen jako krajní řešení. Nutno poznamenat, že J by zřejmě vůbec neprošla nebýt obrovského tlaku na její realizaci ze strany tehdejší politické reprezentace.</w:t>
      </w:r>
    </w:p>
    <w:p w:rsidR="008245C8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roce 2007 studie Mott MacDonald doporučila variantu </w:t>
      </w:r>
      <w:proofErr w:type="spellStart"/>
      <w:r>
        <w:rPr>
          <w:sz w:val="24"/>
          <w:szCs w:val="24"/>
        </w:rPr>
        <w:t>Ss</w:t>
      </w:r>
      <w:proofErr w:type="spellEnd"/>
      <w:r>
        <w:rPr>
          <w:sz w:val="24"/>
          <w:szCs w:val="24"/>
        </w:rPr>
        <w:t xml:space="preserve">. V roce 2008 oponentní posudek FAST VUT Brno potvrdil věrohodnost této studie. Na základě politické objednávky byly následně zpracovány další studie, které preferovaly variantu jižní. Tato </w:t>
      </w:r>
      <w:r>
        <w:rPr>
          <w:b/>
          <w:sz w:val="24"/>
          <w:szCs w:val="24"/>
        </w:rPr>
        <w:t>další porovnání vycházela převážně ze zavádějícího předpokladu, že vzdálenější varianta by znamenala větší zatížení komunikací uvnitř Prahy</w:t>
      </w:r>
      <w:r>
        <w:rPr>
          <w:sz w:val="24"/>
          <w:szCs w:val="24"/>
        </w:rPr>
        <w:t>. Ve skutečnosti celková dopravní zátěž na území hl. města Prahy mj. kvůli přivedení tranzitní kamionové dopravy do městských částí by byla výrazně vyšší v případě jižní varianty. „Odlehčené“ komunikace by se brzy zaplnily v důsledku dopravní indukce</w:t>
      </w:r>
      <w:r>
        <w:rPr>
          <w:b/>
          <w:sz w:val="24"/>
          <w:szCs w:val="24"/>
        </w:rPr>
        <w:t>. Čím menší vzdálenost dálničního okruhu od města, tím silnější bude efekt dopravní indukce a tím větší nárůst dopravních výkonů IAD na území hl. Prahy.</w:t>
      </w:r>
      <w:r>
        <w:rPr>
          <w:sz w:val="24"/>
          <w:szCs w:val="24"/>
        </w:rPr>
        <w:t xml:space="preserve"> </w:t>
      </w:r>
    </w:p>
    <w:p w:rsidR="008245C8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Neposouzení variant by bylo v rozporu se zákonem. </w:t>
      </w:r>
      <w:r>
        <w:rPr>
          <w:sz w:val="24"/>
          <w:szCs w:val="24"/>
        </w:rPr>
        <w:t>Ustanovení § 6 odst. 4 zákona o posuzování vlivů stanoví, že „pokud se jedná o záměr podle § 4 odst. 1 písm. a), musí oznamovatel vždy uvést nástin studovaných hlavních variant a stěžejní důvody pro jeho volbu vzhledem k vlivu na životní prostředí.“</w:t>
      </w:r>
      <w:r>
        <w:t xml:space="preserve"> </w:t>
      </w:r>
      <w:r>
        <w:rPr>
          <w:sz w:val="24"/>
          <w:szCs w:val="24"/>
        </w:rPr>
        <w:t>Dokumentace EIA by měla obsahovat nástin variant záměru a stěžejní důvody pro volbu výsledné varianty vzhledem k vlivu na životní prostředí.</w:t>
      </w:r>
    </w:p>
    <w:p w:rsidR="008245C8" w:rsidRPr="009A4D94" w:rsidRDefault="008245C8" w:rsidP="009A4D94">
      <w:pPr>
        <w:spacing w:after="57" w:line="240" w:lineRule="auto"/>
        <w:jc w:val="both"/>
        <w:rPr>
          <w:rFonts w:ascii="Calibri" w:hAnsi="Calibri"/>
          <w:b/>
          <w:sz w:val="24"/>
          <w:szCs w:val="24"/>
        </w:rPr>
      </w:pPr>
    </w:p>
    <w:p w:rsidR="008A4E25" w:rsidRPr="008A4E25" w:rsidRDefault="009A0E9A" w:rsidP="008A4E25">
      <w:pPr>
        <w:pStyle w:val="Odstavecseseznamem"/>
        <w:keepNext/>
        <w:numPr>
          <w:ilvl w:val="1"/>
          <w:numId w:val="6"/>
        </w:numPr>
        <w:spacing w:after="57" w:line="240" w:lineRule="auto"/>
        <w:jc w:val="both"/>
        <w:rPr>
          <w:b/>
          <w:sz w:val="24"/>
          <w:szCs w:val="24"/>
        </w:rPr>
      </w:pPr>
      <w:r w:rsidRPr="009A0E9A">
        <w:rPr>
          <w:b/>
          <w:sz w:val="24"/>
          <w:szCs w:val="24"/>
        </w:rPr>
        <w:t>Posouzení vlivů výstavby na životní prostředí a veřejné zdraví</w:t>
      </w:r>
      <w:r w:rsidRPr="009A0E9A">
        <w:rPr>
          <w:b/>
          <w:sz w:val="24"/>
          <w:szCs w:val="24"/>
        </w:rPr>
        <w:tab/>
      </w:r>
    </w:p>
    <w:p w:rsidR="00287C47" w:rsidRPr="00016E2B" w:rsidRDefault="009A0E9A" w:rsidP="00016E2B">
      <w:pPr>
        <w:pStyle w:val="Odstavecseseznamem"/>
        <w:spacing w:after="57" w:line="240" w:lineRule="auto"/>
        <w:ind w:left="0"/>
        <w:jc w:val="both"/>
        <w:rPr>
          <w:b/>
          <w:sz w:val="24"/>
          <w:szCs w:val="24"/>
        </w:rPr>
      </w:pPr>
      <w:r w:rsidRPr="009A0E9A">
        <w:rPr>
          <w:sz w:val="24"/>
          <w:szCs w:val="24"/>
        </w:rPr>
        <w:t xml:space="preserve">Stavební práce budou probíhat několik let a budou mít evidentně negativní dopady na okolní přírodu a zástavbu. Některé rezidenční objekty včetně </w:t>
      </w:r>
      <w:r w:rsidR="00434FBB">
        <w:rPr>
          <w:sz w:val="24"/>
          <w:szCs w:val="24"/>
        </w:rPr>
        <w:t xml:space="preserve">lesní mateřské školy JAATA </w:t>
      </w:r>
      <w:r w:rsidR="009A4D94">
        <w:rPr>
          <w:sz w:val="24"/>
          <w:szCs w:val="24"/>
        </w:rPr>
        <w:t>se nachází v </w:t>
      </w:r>
      <w:r w:rsidRPr="009A0E9A">
        <w:rPr>
          <w:sz w:val="24"/>
          <w:szCs w:val="24"/>
        </w:rPr>
        <w:t>bezprostřední blízkosti plá</w:t>
      </w:r>
      <w:r>
        <w:rPr>
          <w:sz w:val="24"/>
          <w:szCs w:val="24"/>
        </w:rPr>
        <w:t>nované</w:t>
      </w:r>
      <w:r w:rsidR="00434FBB">
        <w:rPr>
          <w:sz w:val="24"/>
          <w:szCs w:val="24"/>
        </w:rPr>
        <w:t xml:space="preserve"> stavby</w:t>
      </w:r>
      <w:r>
        <w:rPr>
          <w:sz w:val="24"/>
          <w:szCs w:val="24"/>
        </w:rPr>
        <w:t xml:space="preserve">. Požadujeme </w:t>
      </w:r>
      <w:r w:rsidRPr="009A0E9A">
        <w:rPr>
          <w:b/>
          <w:sz w:val="24"/>
          <w:szCs w:val="24"/>
        </w:rPr>
        <w:t>důkladné posouzení vlivů stavebních prací na veřejné zdraví, přírodu a krajinu.</w:t>
      </w:r>
    </w:p>
    <w:p w:rsidR="009A4D94" w:rsidRDefault="009A4D94" w:rsidP="00287C47">
      <w:pPr>
        <w:spacing w:after="0" w:line="240" w:lineRule="auto"/>
        <w:jc w:val="both"/>
        <w:rPr>
          <w:bCs/>
          <w:sz w:val="24"/>
          <w:szCs w:val="24"/>
        </w:rPr>
      </w:pPr>
    </w:p>
    <w:p w:rsidR="008245C8" w:rsidRDefault="00F06ED0" w:rsidP="008A4E25">
      <w:pPr>
        <w:pStyle w:val="Odstavecseseznamem"/>
        <w:keepNext/>
        <w:numPr>
          <w:ilvl w:val="1"/>
          <w:numId w:val="6"/>
        </w:numPr>
        <w:spacing w:after="57" w:line="240" w:lineRule="auto"/>
        <w:ind w:left="714" w:hanging="35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>Dopr</w:t>
      </w:r>
      <w:bookmarkStart w:id="1" w:name="_GoBack"/>
      <w:bookmarkEnd w:id="1"/>
      <w:r>
        <w:rPr>
          <w:b/>
          <w:sz w:val="24"/>
          <w:szCs w:val="24"/>
        </w:rPr>
        <w:t>avně – inženýrské podklady</w:t>
      </w:r>
    </w:p>
    <w:p w:rsidR="008245C8" w:rsidRDefault="00F06ED0" w:rsidP="00434FBB">
      <w:pPr>
        <w:pStyle w:val="Odstavecseseznamem"/>
        <w:keepNext/>
        <w:numPr>
          <w:ilvl w:val="0"/>
          <w:numId w:val="3"/>
        </w:numPr>
        <w:spacing w:after="57" w:line="240" w:lineRule="auto"/>
        <w:ind w:left="363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>Zveřejnit kartogramy dopravních intenzit pro celou pražskou metropolitní oblast</w:t>
      </w:r>
      <w:r>
        <w:rPr>
          <w:sz w:val="24"/>
          <w:szCs w:val="24"/>
        </w:rPr>
        <w:t xml:space="preserve">. </w:t>
      </w:r>
    </w:p>
    <w:p w:rsidR="008245C8" w:rsidRDefault="00F06ED0" w:rsidP="00434FBB">
      <w:pPr>
        <w:pStyle w:val="Odstavecseseznamem"/>
        <w:numPr>
          <w:ilvl w:val="0"/>
          <w:numId w:val="3"/>
        </w:numPr>
        <w:spacing w:after="57" w:line="240" w:lineRule="auto"/>
        <w:ind w:left="36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Zahrnout do kartogramů intenzit požadované varianty SOKP </w:t>
      </w:r>
      <w:r>
        <w:rPr>
          <w:sz w:val="24"/>
          <w:szCs w:val="24"/>
        </w:rPr>
        <w:t>(regionální)</w:t>
      </w:r>
      <w:r>
        <w:rPr>
          <w:b/>
          <w:sz w:val="24"/>
          <w:szCs w:val="24"/>
        </w:rPr>
        <w:t xml:space="preserve"> a přivaděčů </w:t>
      </w:r>
      <w:r>
        <w:rPr>
          <w:sz w:val="24"/>
          <w:szCs w:val="24"/>
        </w:rPr>
        <w:t xml:space="preserve">(bez </w:t>
      </w:r>
      <w:r w:rsidR="00DB6004">
        <w:rPr>
          <w:sz w:val="24"/>
          <w:szCs w:val="24"/>
        </w:rPr>
        <w:t xml:space="preserve">MÚK </w:t>
      </w:r>
      <w:r w:rsidR="005B31D4">
        <w:rPr>
          <w:sz w:val="24"/>
          <w:szCs w:val="24"/>
        </w:rPr>
        <w:t xml:space="preserve">Čimice </w:t>
      </w:r>
      <w:r w:rsidR="00DB6004">
        <w:rPr>
          <w:sz w:val="24"/>
          <w:szCs w:val="24"/>
        </w:rPr>
        <w:t xml:space="preserve">a </w:t>
      </w:r>
      <w:r w:rsidR="005B31D4">
        <w:rPr>
          <w:sz w:val="24"/>
          <w:szCs w:val="24"/>
        </w:rPr>
        <w:t>bez Čimického přivaděče</w:t>
      </w:r>
      <w:r>
        <w:rPr>
          <w:sz w:val="24"/>
          <w:szCs w:val="24"/>
        </w:rPr>
        <w:t>)</w:t>
      </w:r>
      <w:r w:rsidR="009A4D94">
        <w:rPr>
          <w:sz w:val="24"/>
          <w:szCs w:val="24"/>
        </w:rPr>
        <w:t xml:space="preserve">. </w:t>
      </w:r>
    </w:p>
    <w:p w:rsidR="008245C8" w:rsidRDefault="00F06ED0" w:rsidP="00434FBB">
      <w:pPr>
        <w:pStyle w:val="Odstavecseseznamem"/>
        <w:numPr>
          <w:ilvl w:val="0"/>
          <w:numId w:val="4"/>
        </w:numPr>
        <w:spacing w:after="57" w:line="240" w:lineRule="auto"/>
        <w:ind w:left="369"/>
        <w:jc w:val="both"/>
        <w:rPr>
          <w:rFonts w:ascii="Calibri" w:hAnsi="Calibri"/>
        </w:rPr>
      </w:pPr>
      <w:r>
        <w:rPr>
          <w:b/>
          <w:sz w:val="24"/>
          <w:szCs w:val="24"/>
        </w:rPr>
        <w:t>Vstup pro modelové výpočty exhalací a hluku brát z kapacity komunikací</w:t>
      </w:r>
      <w:r w:rsidR="009A4D94">
        <w:rPr>
          <w:sz w:val="24"/>
          <w:szCs w:val="24"/>
        </w:rPr>
        <w:t xml:space="preserve">. </w:t>
      </w:r>
    </w:p>
    <w:p w:rsidR="008245C8" w:rsidRDefault="00F06ED0" w:rsidP="00434FBB">
      <w:pPr>
        <w:pStyle w:val="Odstavecseseznamem"/>
        <w:numPr>
          <w:ilvl w:val="0"/>
          <w:numId w:val="4"/>
        </w:numPr>
        <w:spacing w:after="57" w:line="240" w:lineRule="auto"/>
        <w:ind w:left="3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všech stavů a variant uvést </w:t>
      </w:r>
      <w:r>
        <w:rPr>
          <w:b/>
          <w:sz w:val="24"/>
          <w:szCs w:val="24"/>
        </w:rPr>
        <w:t>složení dopravy podle zdroje a cíle</w:t>
      </w:r>
      <w:r>
        <w:rPr>
          <w:sz w:val="24"/>
          <w:szCs w:val="24"/>
        </w:rPr>
        <w:t>: tj. podíl tranzitní, zdrojové a cílové (vnější) a vnitřní dopravy</w:t>
      </w:r>
      <w:r w:rsidR="009A4D94">
        <w:rPr>
          <w:sz w:val="24"/>
          <w:szCs w:val="24"/>
        </w:rPr>
        <w:t xml:space="preserve">. </w:t>
      </w:r>
    </w:p>
    <w:p w:rsidR="008245C8" w:rsidRPr="009A0E9A" w:rsidRDefault="00F06ED0" w:rsidP="00434FBB">
      <w:pPr>
        <w:pStyle w:val="Odstavecseseznamem"/>
        <w:numPr>
          <w:ilvl w:val="0"/>
          <w:numId w:val="4"/>
        </w:numPr>
        <w:spacing w:after="57" w:line="240" w:lineRule="auto"/>
        <w:ind w:left="369"/>
        <w:jc w:val="both"/>
        <w:rPr>
          <w:sz w:val="24"/>
          <w:szCs w:val="24"/>
        </w:rPr>
      </w:pPr>
      <w:r w:rsidRPr="009A0E9A">
        <w:rPr>
          <w:b/>
          <w:sz w:val="24"/>
          <w:szCs w:val="24"/>
        </w:rPr>
        <w:t>Zohlednit dopravní indukci</w:t>
      </w:r>
      <w:r w:rsidRPr="009A0E9A">
        <w:rPr>
          <w:sz w:val="24"/>
          <w:szCs w:val="24"/>
        </w:rPr>
        <w:t xml:space="preserve"> nejen na nových, ale i </w:t>
      </w:r>
      <w:r w:rsidRPr="009A0E9A">
        <w:rPr>
          <w:b/>
          <w:sz w:val="24"/>
          <w:szCs w:val="24"/>
        </w:rPr>
        <w:t xml:space="preserve">na stávajících komunikacích: </w:t>
      </w:r>
      <w:r w:rsidRPr="009A0E9A">
        <w:rPr>
          <w:sz w:val="24"/>
          <w:szCs w:val="24"/>
        </w:rPr>
        <w:t xml:space="preserve">dle dopravně inženýrských podkladů SOKP 518 a 519 bude indukovat cca 2/3 nové dopravy. Ve zveřejněných kartogramech však zřejmě nebyla zohledněna dopravní indukce na stávajících komunikacích. Přitom matematické modely a zkušenosti z praxe potvrzují, že „uvolněné“ komunikace se zase brzy zaplní (např. Barrandovský most po zprovoznění jižní části vnějšího okruhu). </w:t>
      </w:r>
    </w:p>
    <w:p w:rsidR="008245C8" w:rsidRPr="009A0E9A" w:rsidRDefault="00F06ED0" w:rsidP="00434FBB">
      <w:pPr>
        <w:pStyle w:val="Odstavecseseznamem"/>
        <w:numPr>
          <w:ilvl w:val="0"/>
          <w:numId w:val="4"/>
        </w:numPr>
        <w:spacing w:after="57" w:line="240" w:lineRule="auto"/>
        <w:ind w:left="369"/>
        <w:jc w:val="both"/>
        <w:rPr>
          <w:sz w:val="24"/>
          <w:szCs w:val="24"/>
        </w:rPr>
      </w:pPr>
      <w:r w:rsidRPr="009A0E9A">
        <w:rPr>
          <w:b/>
          <w:sz w:val="24"/>
          <w:szCs w:val="24"/>
        </w:rPr>
        <w:t xml:space="preserve">Zahrnout do dopravně-inženýrských podkladů i </w:t>
      </w:r>
      <w:r w:rsidR="00637FC1" w:rsidRPr="009A0E9A">
        <w:rPr>
          <w:b/>
          <w:sz w:val="24"/>
          <w:szCs w:val="24"/>
        </w:rPr>
        <w:t xml:space="preserve">propojení Prahy 6 a Prahy 8 </w:t>
      </w:r>
      <w:r w:rsidR="00637FC1" w:rsidRPr="009A0E9A">
        <w:rPr>
          <w:sz w:val="24"/>
          <w:szCs w:val="24"/>
        </w:rPr>
        <w:t xml:space="preserve">v těchto alternativách: 1) </w:t>
      </w:r>
      <w:r w:rsidRPr="009A0E9A">
        <w:rPr>
          <w:sz w:val="24"/>
          <w:szCs w:val="24"/>
        </w:rPr>
        <w:t>TT Podbaba – Bohnice – Kobylisy</w:t>
      </w:r>
      <w:r w:rsidR="00637FC1" w:rsidRPr="009A0E9A">
        <w:rPr>
          <w:sz w:val="24"/>
          <w:szCs w:val="24"/>
        </w:rPr>
        <w:t xml:space="preserve"> 2) městská komunikace (nízký most) pro IAD a MHD</w:t>
      </w:r>
      <w:r w:rsidR="00F147B6">
        <w:rPr>
          <w:sz w:val="24"/>
          <w:szCs w:val="24"/>
        </w:rPr>
        <w:t>.</w:t>
      </w:r>
    </w:p>
    <w:p w:rsidR="008245C8" w:rsidRPr="00F147B6" w:rsidRDefault="008245C8" w:rsidP="00F147B6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8245C8" w:rsidRDefault="00F06ED0" w:rsidP="008A4E25">
      <w:pPr>
        <w:pStyle w:val="Odstavecseseznamem"/>
        <w:numPr>
          <w:ilvl w:val="1"/>
          <w:numId w:val="6"/>
        </w:numPr>
        <w:spacing w:after="57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Sloučit do jednoho posouzení EIA stavby 518</w:t>
      </w:r>
      <w:r w:rsidR="00252339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519</w:t>
      </w:r>
      <w:r w:rsidR="00252339">
        <w:rPr>
          <w:b/>
          <w:sz w:val="24"/>
          <w:szCs w:val="24"/>
        </w:rPr>
        <w:t xml:space="preserve"> a 520</w:t>
      </w:r>
    </w:p>
    <w:p w:rsidR="008245C8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Připravit společnou dokumentaci EIA pro stavby SOKP 518</w:t>
      </w:r>
      <w:r w:rsidR="00252339">
        <w:rPr>
          <w:sz w:val="24"/>
          <w:szCs w:val="24"/>
        </w:rPr>
        <w:t xml:space="preserve">, </w:t>
      </w:r>
      <w:r>
        <w:rPr>
          <w:sz w:val="24"/>
          <w:szCs w:val="24"/>
        </w:rPr>
        <w:t>SOKP 519</w:t>
      </w:r>
      <w:r w:rsidR="00252339">
        <w:rPr>
          <w:sz w:val="24"/>
          <w:szCs w:val="24"/>
        </w:rPr>
        <w:t xml:space="preserve"> a SOKP 520</w:t>
      </w:r>
      <w:r>
        <w:rPr>
          <w:sz w:val="24"/>
          <w:szCs w:val="24"/>
        </w:rPr>
        <w:t xml:space="preserve"> a posuzovat je společně v rámci jednoho řízení</w:t>
      </w:r>
      <w:r w:rsidR="00252339">
        <w:rPr>
          <w:sz w:val="24"/>
          <w:szCs w:val="24"/>
        </w:rPr>
        <w:t>. Stavby jsou funkčně provázané a jejich provoz bude mít vliv na dopravu na přilehlých úsecích a životní prostředí v okolí těchto úseků.</w:t>
      </w:r>
    </w:p>
    <w:p w:rsidR="006D2419" w:rsidRPr="006D2419" w:rsidRDefault="006D2419">
      <w:pPr>
        <w:spacing w:after="57" w:line="240" w:lineRule="auto"/>
        <w:jc w:val="both"/>
        <w:rPr>
          <w:sz w:val="24"/>
          <w:szCs w:val="24"/>
        </w:rPr>
      </w:pPr>
    </w:p>
    <w:p w:rsidR="006D2419" w:rsidRPr="006D2419" w:rsidRDefault="00F06ED0" w:rsidP="006D2419">
      <w:pPr>
        <w:pStyle w:val="Odstavecseseznamem"/>
        <w:numPr>
          <w:ilvl w:val="1"/>
          <w:numId w:val="6"/>
        </w:numPr>
        <w:spacing w:after="57" w:line="240" w:lineRule="auto"/>
        <w:jc w:val="both"/>
        <w:rPr>
          <w:b/>
          <w:sz w:val="24"/>
          <w:szCs w:val="24"/>
          <w:u w:val="single"/>
        </w:rPr>
      </w:pPr>
      <w:r w:rsidRPr="009A0E9A">
        <w:rPr>
          <w:b/>
          <w:sz w:val="24"/>
          <w:szCs w:val="24"/>
        </w:rPr>
        <w:t xml:space="preserve">Posouzení kumulativních </w:t>
      </w:r>
      <w:r w:rsidR="00EA7142">
        <w:rPr>
          <w:b/>
          <w:sz w:val="24"/>
          <w:szCs w:val="24"/>
        </w:rPr>
        <w:t>vlivů</w:t>
      </w:r>
    </w:p>
    <w:p w:rsidR="00EE2896" w:rsidRPr="006D2419" w:rsidRDefault="00EE2896" w:rsidP="00EE2896">
      <w:pPr>
        <w:spacing w:after="57" w:line="240" w:lineRule="auto"/>
        <w:jc w:val="both"/>
        <w:rPr>
          <w:sz w:val="24"/>
          <w:szCs w:val="24"/>
        </w:rPr>
      </w:pPr>
      <w:r w:rsidRPr="006D2419">
        <w:rPr>
          <w:sz w:val="24"/>
          <w:szCs w:val="24"/>
        </w:rPr>
        <w:t>Městské části a obce podél SOKP 518 a SOKP 519 jsou již nyní vystaveny negativním účinkům neustále rostoucí letecké dopravy. Realizace velkokapacitní komunikace na jejich území by představovala další obrovskou zátěž pro místní obyvatele. V plánu je projekt paralelní dráhy, konkrétně společnost Letiště Praha a.s. má v současné době platné stanovisko EIA a podala žádost u stavebního úřadu MÚ v Černošicích o vydání územního roz</w:t>
      </w:r>
      <w:r w:rsidR="00513306" w:rsidRPr="006D2419">
        <w:rPr>
          <w:sz w:val="24"/>
          <w:szCs w:val="24"/>
        </w:rPr>
        <w:t xml:space="preserve">hodnutí na paralelní </w:t>
      </w:r>
      <w:r w:rsidRPr="006D2419">
        <w:rPr>
          <w:sz w:val="24"/>
          <w:szCs w:val="24"/>
        </w:rPr>
        <w:t>dráhu. Se zahájením realizace stavby počítá v roce 2025</w:t>
      </w:r>
      <w:r w:rsidR="00487E47" w:rsidRPr="006D2419">
        <w:rPr>
          <w:sz w:val="24"/>
          <w:szCs w:val="24"/>
        </w:rPr>
        <w:t>,</w:t>
      </w:r>
      <w:r w:rsidRPr="006D2419">
        <w:rPr>
          <w:sz w:val="24"/>
          <w:szCs w:val="24"/>
        </w:rPr>
        <w:t xml:space="preserve"> s dokončením stavby v roce 2028. Hlukovou zátěž z letecké dopravy v okolí záměru nelze zanedbávat, neb okolí záměru je tímto hlukem značně zatíženo. Přesto EIA pro stavbu SOKP 519 </w:t>
      </w:r>
      <w:r w:rsidR="00513306" w:rsidRPr="006D2419">
        <w:rPr>
          <w:b/>
          <w:sz w:val="24"/>
          <w:szCs w:val="24"/>
        </w:rPr>
        <w:t xml:space="preserve">neuvádí paralelní </w:t>
      </w:r>
      <w:r w:rsidRPr="006D2419">
        <w:rPr>
          <w:b/>
          <w:sz w:val="24"/>
          <w:szCs w:val="24"/>
        </w:rPr>
        <w:t>dráhu</w:t>
      </w:r>
      <w:r w:rsidR="005474AB" w:rsidRPr="006D2419">
        <w:rPr>
          <w:sz w:val="24"/>
          <w:szCs w:val="24"/>
        </w:rPr>
        <w:t>.</w:t>
      </w:r>
      <w:r w:rsidRPr="006D2419">
        <w:rPr>
          <w:sz w:val="24"/>
          <w:szCs w:val="24"/>
        </w:rPr>
        <w:t xml:space="preserve"> </w:t>
      </w:r>
      <w:r w:rsidR="005474AB" w:rsidRPr="006D2419">
        <w:rPr>
          <w:sz w:val="24"/>
          <w:szCs w:val="24"/>
        </w:rPr>
        <w:t>Je</w:t>
      </w:r>
      <w:r w:rsidRPr="006D2419">
        <w:rPr>
          <w:sz w:val="24"/>
          <w:szCs w:val="24"/>
        </w:rPr>
        <w:t xml:space="preserve"> nutné zpracování synergického jevu z letecké dopravy v případě realizace paralelní dráhy do hlukové studie k SOKP 519. V případě, že není dostupná metodika komb</w:t>
      </w:r>
      <w:r w:rsidR="00487E47" w:rsidRPr="006D2419">
        <w:rPr>
          <w:sz w:val="24"/>
          <w:szCs w:val="24"/>
        </w:rPr>
        <w:t>inující takové zdroje, domnívám</w:t>
      </w:r>
      <w:r w:rsidRPr="006D2419">
        <w:rPr>
          <w:sz w:val="24"/>
          <w:szCs w:val="24"/>
        </w:rPr>
        <w:t xml:space="preserve"> se, že je nezbytné postupovat metodou nejhoršího možného scénáře, tedy že hluková studie bude předpokládat významné synergické efekty.</w:t>
      </w:r>
    </w:p>
    <w:p w:rsidR="00EA7142" w:rsidRPr="006D2419" w:rsidRDefault="00EA7142" w:rsidP="006D2419">
      <w:pPr>
        <w:spacing w:after="57" w:line="240" w:lineRule="auto"/>
        <w:jc w:val="both"/>
        <w:rPr>
          <w:sz w:val="24"/>
          <w:szCs w:val="24"/>
        </w:rPr>
      </w:pPr>
      <w:r w:rsidRPr="006D2419">
        <w:rPr>
          <w:sz w:val="24"/>
          <w:szCs w:val="24"/>
        </w:rPr>
        <w:t xml:space="preserve">Posouzení EIA pro stavbu „SOKP 519, Suchdol – Březiněves“ </w:t>
      </w:r>
      <w:r w:rsidRPr="006D2419">
        <w:rPr>
          <w:b/>
          <w:sz w:val="24"/>
          <w:szCs w:val="24"/>
        </w:rPr>
        <w:t>nezahrnuje Čimickou radiálu</w:t>
      </w:r>
      <w:r w:rsidRPr="006D2419">
        <w:rPr>
          <w:sz w:val="24"/>
          <w:szCs w:val="24"/>
        </w:rPr>
        <w:t xml:space="preserve">, pro kterou byla zpracována studie proveditelnosti (smlouva TSK hl. m. </w:t>
      </w:r>
      <w:r w:rsidR="00F147B6" w:rsidRPr="006D2419">
        <w:rPr>
          <w:sz w:val="24"/>
          <w:szCs w:val="24"/>
        </w:rPr>
        <w:t>Prahy „Severní Čimická radiála –</w:t>
      </w:r>
      <w:r w:rsidRPr="006D2419">
        <w:rPr>
          <w:sz w:val="24"/>
          <w:szCs w:val="24"/>
        </w:rPr>
        <w:t xml:space="preserve"> aktualizace ověřovací studie, Praha 7, 8 a Dolní Chabry, č.</w:t>
      </w:r>
      <w:r w:rsidR="00F147B6" w:rsidRPr="006D2419">
        <w:rPr>
          <w:sz w:val="24"/>
          <w:szCs w:val="24"/>
        </w:rPr>
        <w:t xml:space="preserve"> </w:t>
      </w:r>
      <w:r w:rsidRPr="006D2419">
        <w:rPr>
          <w:sz w:val="24"/>
          <w:szCs w:val="24"/>
        </w:rPr>
        <w:t>akce: 1000026“). Studie EIA by měla buď vyloučit zřízení uvažované radiály</w:t>
      </w:r>
      <w:r w:rsidR="00970CB0">
        <w:rPr>
          <w:sz w:val="24"/>
          <w:szCs w:val="24"/>
        </w:rPr>
        <w:t>,</w:t>
      </w:r>
      <w:r w:rsidRPr="006D2419">
        <w:rPr>
          <w:sz w:val="24"/>
          <w:szCs w:val="24"/>
        </w:rPr>
        <w:t xml:space="preserve"> nebo plně zhodnotit její vliv na dopravu a životní prostředí. </w:t>
      </w:r>
      <w:r w:rsidR="00F147B6" w:rsidRPr="006D2419">
        <w:rPr>
          <w:sz w:val="24"/>
          <w:szCs w:val="24"/>
        </w:rPr>
        <w:t>V tomto případě neplatí věta „</w:t>
      </w:r>
      <w:r w:rsidRPr="006D2419">
        <w:rPr>
          <w:sz w:val="24"/>
          <w:szCs w:val="24"/>
        </w:rPr>
        <w:t>do výpočtů intenzit nebyly zahrnuty připravované dopravní stavby a komunikace, které podle předpokladů nebudou v dané době ještě realiz</w:t>
      </w:r>
      <w:r w:rsidR="00F147B6" w:rsidRPr="006D2419">
        <w:rPr>
          <w:sz w:val="24"/>
          <w:szCs w:val="24"/>
        </w:rPr>
        <w:t>ovány a k dispozici pro dopravu“</w:t>
      </w:r>
      <w:r w:rsidRPr="006D2419">
        <w:rPr>
          <w:sz w:val="24"/>
          <w:szCs w:val="24"/>
        </w:rPr>
        <w:t>, protože se jedná o záměr přímo související s touto stavbou a ovlivňující podobu MÚK Čimice a realizaci Čimického přivaděče. Požaduji zrušit MÚK Čimice a Čimický přivaděč.</w:t>
      </w:r>
    </w:p>
    <w:p w:rsidR="00CF1AE5" w:rsidRPr="006D2419" w:rsidRDefault="00CF1AE5" w:rsidP="006D2419">
      <w:pPr>
        <w:spacing w:after="57" w:line="240" w:lineRule="auto"/>
        <w:jc w:val="both"/>
        <w:rPr>
          <w:sz w:val="24"/>
          <w:szCs w:val="24"/>
        </w:rPr>
      </w:pPr>
      <w:r w:rsidRPr="006D2419">
        <w:rPr>
          <w:sz w:val="24"/>
          <w:szCs w:val="24"/>
        </w:rPr>
        <w:t xml:space="preserve">V hlukové studii není zohledněn vliv Drahanského údolí pro šíření hluku během různých </w:t>
      </w:r>
      <w:r w:rsidR="00A110E3" w:rsidRPr="006D2419">
        <w:rPr>
          <w:sz w:val="24"/>
          <w:szCs w:val="24"/>
        </w:rPr>
        <w:t>a</w:t>
      </w:r>
      <w:r w:rsidRPr="006D2419">
        <w:rPr>
          <w:sz w:val="24"/>
          <w:szCs w:val="24"/>
        </w:rPr>
        <w:t>tmosférických podmínek. Přitom nyní je v Dolních Chabrech za určitých okolností slyšet vlakový provoz na 3 km vzdáleném železničním koridoru u Vltavy. Škodlivým může být synergický vliv ozvěn i spolupůsobení hluku ze silničního a leteckého provozu.</w:t>
      </w:r>
    </w:p>
    <w:p w:rsidR="00EE2896" w:rsidRPr="00CF1AE5" w:rsidRDefault="00EE2896" w:rsidP="00EE2896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454C09" w:rsidRPr="00454C09" w:rsidRDefault="00454C09" w:rsidP="008A4E25">
      <w:pPr>
        <w:pStyle w:val="Odstavecseseznamem"/>
        <w:numPr>
          <w:ilvl w:val="1"/>
          <w:numId w:val="6"/>
        </w:numPr>
        <w:spacing w:after="57" w:line="240" w:lineRule="auto"/>
        <w:jc w:val="both"/>
        <w:rPr>
          <w:b/>
          <w:sz w:val="24"/>
          <w:szCs w:val="24"/>
        </w:rPr>
      </w:pPr>
      <w:r w:rsidRPr="00454C09">
        <w:rPr>
          <w:b/>
          <w:sz w:val="24"/>
          <w:szCs w:val="24"/>
        </w:rPr>
        <w:lastRenderedPageBreak/>
        <w:t xml:space="preserve">Posouzení vlivů výstavby a provozu SOKP 518 a 519 na klimatické změny </w:t>
      </w:r>
    </w:p>
    <w:p w:rsidR="00454C09" w:rsidRPr="001779AE" w:rsidRDefault="00454C09" w:rsidP="001779AE">
      <w:pPr>
        <w:spacing w:after="57" w:line="240" w:lineRule="auto"/>
        <w:jc w:val="both"/>
      </w:pPr>
      <w:r w:rsidRPr="006D2419">
        <w:rPr>
          <w:sz w:val="24"/>
          <w:szCs w:val="24"/>
        </w:rPr>
        <w:t>V říjnu 2018 mezinárodní panel OSN pro změnu klimatu zveřejnil zprávu, kde vědci varují před katastrofálními následky globálního oteplování.  Realizace šestiproudé dálnice by vedla k obrovskému nárůstu skleníkových plynů jak v rámci výstavby</w:t>
      </w:r>
      <w:r w:rsidR="00970CB0">
        <w:rPr>
          <w:sz w:val="24"/>
          <w:szCs w:val="24"/>
        </w:rPr>
        <w:t>,</w:t>
      </w:r>
      <w:r w:rsidRPr="006D2419">
        <w:rPr>
          <w:sz w:val="24"/>
          <w:szCs w:val="24"/>
        </w:rPr>
        <w:t xml:space="preserve"> tak provozu</w:t>
      </w:r>
      <w:r w:rsidR="00970CB0">
        <w:rPr>
          <w:sz w:val="24"/>
          <w:szCs w:val="24"/>
        </w:rPr>
        <w:t>,</w:t>
      </w:r>
      <w:r w:rsidRPr="006D2419">
        <w:rPr>
          <w:sz w:val="24"/>
          <w:szCs w:val="24"/>
        </w:rPr>
        <w:t xml:space="preserve"> mj. v důsledku výrazné</w:t>
      </w:r>
      <w:r w:rsidR="008C27D2" w:rsidRPr="006D2419">
        <w:rPr>
          <w:sz w:val="24"/>
          <w:szCs w:val="24"/>
        </w:rPr>
        <w:t>ho</w:t>
      </w:r>
      <w:r w:rsidRPr="006D2419">
        <w:rPr>
          <w:sz w:val="24"/>
          <w:szCs w:val="24"/>
        </w:rPr>
        <w:t xml:space="preserve"> nárůstu dopravních výkonů v pražské aglomeraci. V době, kdy Česká republika čelí stále delším obdobím sucha, úbytku lesů a ztrátě biodiverzity, se takto radikální zásah do krajiny a přírody jeví jako naprosto nežádoucí. Požaduji důkladné posouzení vlivů záměru z hlediska emisí skleníkových plynů, na povrchové a podzemní vody, půdu, lesy a biologickou rozmanitost.</w:t>
      </w:r>
    </w:p>
    <w:p w:rsidR="003240DF" w:rsidRDefault="003240DF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8245C8" w:rsidRDefault="008245C8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6D7B93" w:rsidRDefault="006D7B93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6D7B93" w:rsidRDefault="006D7B93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8245C8" w:rsidRPr="006B2362" w:rsidRDefault="006D7B93">
      <w:pPr>
        <w:spacing w:after="57" w:line="240" w:lineRule="auto"/>
        <w:jc w:val="both"/>
        <w:rPr>
          <w:sz w:val="24"/>
          <w:szCs w:val="24"/>
        </w:rPr>
      </w:pPr>
      <w:r w:rsidRPr="006B2362">
        <w:rPr>
          <w:sz w:val="24"/>
          <w:szCs w:val="24"/>
        </w:rPr>
        <w:t>-------------------------------------------</w:t>
      </w:r>
    </w:p>
    <w:p w:rsidR="00F147B6" w:rsidRPr="00F147B6" w:rsidRDefault="00F06ED0" w:rsidP="00F147B6">
      <w:pPr>
        <w:spacing w:after="57" w:line="240" w:lineRule="auto"/>
        <w:rPr>
          <w:sz w:val="24"/>
          <w:szCs w:val="24"/>
          <w:highlight w:val="yellow"/>
        </w:rPr>
      </w:pPr>
      <w:r w:rsidRPr="00F147B6">
        <w:rPr>
          <w:sz w:val="24"/>
          <w:szCs w:val="24"/>
          <w:highlight w:val="yellow"/>
        </w:rPr>
        <w:t>Jméno a příjmení</w:t>
      </w:r>
    </w:p>
    <w:p w:rsidR="00F147B6" w:rsidRDefault="00F06ED0" w:rsidP="00F147B6">
      <w:pPr>
        <w:spacing w:after="57" w:line="240" w:lineRule="auto"/>
        <w:rPr>
          <w:sz w:val="24"/>
          <w:szCs w:val="24"/>
        </w:rPr>
      </w:pPr>
      <w:r w:rsidRPr="00F147B6">
        <w:rPr>
          <w:sz w:val="24"/>
          <w:szCs w:val="24"/>
          <w:highlight w:val="yellow"/>
        </w:rPr>
        <w:t>Adresa trvalého bydliště</w:t>
      </w:r>
    </w:p>
    <w:p w:rsidR="007546BC" w:rsidRPr="00F147B6" w:rsidRDefault="007546BC" w:rsidP="00F147B6">
      <w:pPr>
        <w:spacing w:after="57" w:line="240" w:lineRule="auto"/>
      </w:pPr>
    </w:p>
    <w:sectPr w:rsidR="007546BC" w:rsidRPr="00F147B6">
      <w:footerReference w:type="default" r:id="rId9"/>
      <w:pgSz w:w="11906" w:h="16838"/>
      <w:pgMar w:top="1134" w:right="1134" w:bottom="1134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930" w:rsidRDefault="00504930" w:rsidP="00244ED7">
      <w:pPr>
        <w:spacing w:after="0" w:line="240" w:lineRule="auto"/>
      </w:pPr>
      <w:r>
        <w:separator/>
      </w:r>
    </w:p>
  </w:endnote>
  <w:endnote w:type="continuationSeparator" w:id="0">
    <w:p w:rsidR="00504930" w:rsidRDefault="00504930" w:rsidP="00244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382907"/>
      <w:docPartObj>
        <w:docPartGallery w:val="Page Numbers (Bottom of Page)"/>
        <w:docPartUnique/>
      </w:docPartObj>
    </w:sdtPr>
    <w:sdtEndPr/>
    <w:sdtContent>
      <w:p w:rsidR="00244ED7" w:rsidRDefault="00244ED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F4D">
          <w:rPr>
            <w:noProof/>
          </w:rPr>
          <w:t>1</w:t>
        </w:r>
        <w:r>
          <w:fldChar w:fldCharType="end"/>
        </w:r>
      </w:p>
    </w:sdtContent>
  </w:sdt>
  <w:p w:rsidR="00244ED7" w:rsidRDefault="00244ED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930" w:rsidRDefault="00504930" w:rsidP="00244ED7">
      <w:pPr>
        <w:spacing w:after="0" w:line="240" w:lineRule="auto"/>
      </w:pPr>
      <w:r>
        <w:separator/>
      </w:r>
    </w:p>
  </w:footnote>
  <w:footnote w:type="continuationSeparator" w:id="0">
    <w:p w:rsidR="00504930" w:rsidRDefault="00504930" w:rsidP="00244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9007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8F2C9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1809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BCCDC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FAD1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FB494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4CD1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DCA8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863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D87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A0C70"/>
    <w:multiLevelType w:val="multilevel"/>
    <w:tmpl w:val="90BAB702"/>
    <w:lvl w:ilvl="0">
      <w:start w:val="2"/>
      <w:numFmt w:val="decimal"/>
      <w:lvlText w:val="%1"/>
      <w:lvlJc w:val="left"/>
      <w:pPr>
        <w:ind w:left="360" w:hanging="360"/>
      </w:pPr>
      <w:rPr>
        <w:b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sz w:val="24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  <w:sz w:val="24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b/>
        <w:u w:val="single"/>
      </w:rPr>
    </w:lvl>
  </w:abstractNum>
  <w:abstractNum w:abstractNumId="11">
    <w:nsid w:val="0926294B"/>
    <w:multiLevelType w:val="hybridMultilevel"/>
    <w:tmpl w:val="DDD003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5D8457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3774448"/>
    <w:multiLevelType w:val="multilevel"/>
    <w:tmpl w:val="9F563C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73F451A"/>
    <w:multiLevelType w:val="multilevel"/>
    <w:tmpl w:val="D54E8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24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sz w:val="24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u w:val="single"/>
      </w:rPr>
    </w:lvl>
  </w:abstractNum>
  <w:abstractNum w:abstractNumId="15">
    <w:nsid w:val="325F23F7"/>
    <w:multiLevelType w:val="multilevel"/>
    <w:tmpl w:val="E45430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37EA51FE"/>
    <w:multiLevelType w:val="multilevel"/>
    <w:tmpl w:val="8B1417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3D63A4A"/>
    <w:multiLevelType w:val="multilevel"/>
    <w:tmpl w:val="EAFC7A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4B15A08"/>
    <w:multiLevelType w:val="multilevel"/>
    <w:tmpl w:val="67F0D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AA5E86"/>
    <w:multiLevelType w:val="multilevel"/>
    <w:tmpl w:val="1D5213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6EA03DAA"/>
    <w:multiLevelType w:val="multilevel"/>
    <w:tmpl w:val="E9C85B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906D1"/>
    <w:multiLevelType w:val="multilevel"/>
    <w:tmpl w:val="5A468756"/>
    <w:lvl w:ilvl="0">
      <w:start w:val="2"/>
      <w:numFmt w:val="decimal"/>
      <w:lvlText w:val="%1"/>
      <w:lvlJc w:val="left"/>
      <w:pPr>
        <w:ind w:left="360" w:hanging="360"/>
      </w:pPr>
      <w:rPr>
        <w:b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sz w:val="24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  <w:sz w:val="24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b/>
        <w:u w:val="single"/>
      </w:rPr>
    </w:lvl>
  </w:abstractNum>
  <w:abstractNum w:abstractNumId="22">
    <w:nsid w:val="7CD9580C"/>
    <w:multiLevelType w:val="multilevel"/>
    <w:tmpl w:val="F78A0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FA12B05"/>
    <w:multiLevelType w:val="multilevel"/>
    <w:tmpl w:val="0F907E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16"/>
  </w:num>
  <w:num w:numId="3">
    <w:abstractNumId w:val="17"/>
  </w:num>
  <w:num w:numId="4">
    <w:abstractNumId w:val="22"/>
  </w:num>
  <w:num w:numId="5">
    <w:abstractNumId w:val="23"/>
  </w:num>
  <w:num w:numId="6">
    <w:abstractNumId w:val="14"/>
  </w:num>
  <w:num w:numId="7">
    <w:abstractNumId w:val="13"/>
  </w:num>
  <w:num w:numId="8">
    <w:abstractNumId w:val="15"/>
  </w:num>
  <w:num w:numId="9">
    <w:abstractNumId w:val="19"/>
  </w:num>
  <w:num w:numId="10">
    <w:abstractNumId w:val="11"/>
  </w:num>
  <w:num w:numId="11">
    <w:abstractNumId w:val="21"/>
  </w:num>
  <w:num w:numId="12">
    <w:abstractNumId w:val="18"/>
  </w:num>
  <w:num w:numId="13">
    <w:abstractNumId w:val="12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5C8"/>
    <w:rsid w:val="00016E2B"/>
    <w:rsid w:val="000A1CD3"/>
    <w:rsid w:val="000A4DD4"/>
    <w:rsid w:val="000D20F7"/>
    <w:rsid w:val="001716A4"/>
    <w:rsid w:val="001779AE"/>
    <w:rsid w:val="001946C9"/>
    <w:rsid w:val="00244ED7"/>
    <w:rsid w:val="00252339"/>
    <w:rsid w:val="00287C47"/>
    <w:rsid w:val="00302DA0"/>
    <w:rsid w:val="003240DF"/>
    <w:rsid w:val="003F5A12"/>
    <w:rsid w:val="00405DBD"/>
    <w:rsid w:val="00411F4D"/>
    <w:rsid w:val="00423AAA"/>
    <w:rsid w:val="00426A5B"/>
    <w:rsid w:val="004318FB"/>
    <w:rsid w:val="00434FBB"/>
    <w:rsid w:val="00454C09"/>
    <w:rsid w:val="00455F19"/>
    <w:rsid w:val="00480FCF"/>
    <w:rsid w:val="00487E47"/>
    <w:rsid w:val="004A018D"/>
    <w:rsid w:val="00504930"/>
    <w:rsid w:val="00513306"/>
    <w:rsid w:val="00541CBF"/>
    <w:rsid w:val="005474AB"/>
    <w:rsid w:val="00594538"/>
    <w:rsid w:val="005A753E"/>
    <w:rsid w:val="005B31D4"/>
    <w:rsid w:val="00637FC1"/>
    <w:rsid w:val="00651A5A"/>
    <w:rsid w:val="00653570"/>
    <w:rsid w:val="006A26D0"/>
    <w:rsid w:val="006A2E2F"/>
    <w:rsid w:val="006B2362"/>
    <w:rsid w:val="006D2419"/>
    <w:rsid w:val="006D7B93"/>
    <w:rsid w:val="006F2DE0"/>
    <w:rsid w:val="00732F7B"/>
    <w:rsid w:val="007546BC"/>
    <w:rsid w:val="007922C5"/>
    <w:rsid w:val="007943FE"/>
    <w:rsid w:val="007B73ED"/>
    <w:rsid w:val="007F304D"/>
    <w:rsid w:val="008245C8"/>
    <w:rsid w:val="00836D0C"/>
    <w:rsid w:val="0084240F"/>
    <w:rsid w:val="008651C2"/>
    <w:rsid w:val="00891FC6"/>
    <w:rsid w:val="00893A0F"/>
    <w:rsid w:val="00897EEE"/>
    <w:rsid w:val="008A4E25"/>
    <w:rsid w:val="008C27D2"/>
    <w:rsid w:val="00924499"/>
    <w:rsid w:val="00970CB0"/>
    <w:rsid w:val="00994D79"/>
    <w:rsid w:val="009A0E9A"/>
    <w:rsid w:val="009A4D94"/>
    <w:rsid w:val="009F22EE"/>
    <w:rsid w:val="009F7B25"/>
    <w:rsid w:val="00A110E3"/>
    <w:rsid w:val="00A73658"/>
    <w:rsid w:val="00A9185A"/>
    <w:rsid w:val="00AA4A35"/>
    <w:rsid w:val="00B05119"/>
    <w:rsid w:val="00B74996"/>
    <w:rsid w:val="00BD355A"/>
    <w:rsid w:val="00C16E37"/>
    <w:rsid w:val="00C175B9"/>
    <w:rsid w:val="00CB3B66"/>
    <w:rsid w:val="00CB45F7"/>
    <w:rsid w:val="00CF1AE5"/>
    <w:rsid w:val="00D723AE"/>
    <w:rsid w:val="00DA2F7D"/>
    <w:rsid w:val="00DB6004"/>
    <w:rsid w:val="00DF3625"/>
    <w:rsid w:val="00E83FD3"/>
    <w:rsid w:val="00EA7142"/>
    <w:rsid w:val="00EE2896"/>
    <w:rsid w:val="00EF471D"/>
    <w:rsid w:val="00F06ED0"/>
    <w:rsid w:val="00F147B6"/>
    <w:rsid w:val="00F2423D"/>
    <w:rsid w:val="00FD6CEE"/>
    <w:rsid w:val="00FF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CB45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A36E2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B70CA9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D4C3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02238"/>
  </w:style>
  <w:style w:type="character" w:customStyle="1" w:styleId="ZpatChar">
    <w:name w:val="Zápatí Char"/>
    <w:basedOn w:val="Standardnpsmoodstavce"/>
    <w:link w:val="Zpat"/>
    <w:uiPriority w:val="99"/>
    <w:qFormat/>
    <w:rsid w:val="00702238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4"/>
      <w:szCs w:val="28"/>
    </w:rPr>
  </w:style>
  <w:style w:type="paragraph" w:styleId="Zkladntext">
    <w:name w:val="Body Text"/>
    <w:basedOn w:val="Normln"/>
    <w:link w:val="ZkladntextChar"/>
    <w:pPr>
      <w:spacing w:after="140"/>
    </w:pPr>
  </w:style>
  <w:style w:type="paragraph" w:styleId="Seznam">
    <w:name w:val="List"/>
    <w:basedOn w:val="Zkladntext"/>
    <w:rPr>
      <w:rFonts w:ascii="Arial" w:hAnsi="Arial" w:cs="Mangal"/>
      <w:sz w:val="24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Arial" w:hAnsi="Arial" w:cs="Mangal"/>
      <w:sz w:val="24"/>
    </w:rPr>
  </w:style>
  <w:style w:type="paragraph" w:styleId="Odstavecseseznamem">
    <w:name w:val="List Paragraph"/>
    <w:basedOn w:val="Normln"/>
    <w:uiPriority w:val="34"/>
    <w:qFormat/>
    <w:rsid w:val="00D31BE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F833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D4C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0223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02238"/>
    <w:pPr>
      <w:tabs>
        <w:tab w:val="center" w:pos="4536"/>
        <w:tab w:val="right" w:pos="9072"/>
      </w:tabs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454C09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891FC6"/>
    <w:rPr>
      <w:i/>
      <w:iCs/>
    </w:rPr>
  </w:style>
  <w:style w:type="character" w:customStyle="1" w:styleId="preformatted">
    <w:name w:val="preformatted"/>
    <w:basedOn w:val="Standardnpsmoodstavce"/>
    <w:rsid w:val="00891FC6"/>
  </w:style>
  <w:style w:type="paragraph" w:styleId="Nzev">
    <w:name w:val="Title"/>
    <w:basedOn w:val="Normln"/>
    <w:next w:val="Normln"/>
    <w:link w:val="NzevChar"/>
    <w:uiPriority w:val="10"/>
    <w:qFormat/>
    <w:rsid w:val="00CB45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B45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CB45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CB45F7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CB45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A36E2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B70CA9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D4C3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02238"/>
  </w:style>
  <w:style w:type="character" w:customStyle="1" w:styleId="ZpatChar">
    <w:name w:val="Zápatí Char"/>
    <w:basedOn w:val="Standardnpsmoodstavce"/>
    <w:link w:val="Zpat"/>
    <w:uiPriority w:val="99"/>
    <w:qFormat/>
    <w:rsid w:val="00702238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4"/>
      <w:szCs w:val="28"/>
    </w:rPr>
  </w:style>
  <w:style w:type="paragraph" w:styleId="Zkladntext">
    <w:name w:val="Body Text"/>
    <w:basedOn w:val="Normln"/>
    <w:link w:val="ZkladntextChar"/>
    <w:pPr>
      <w:spacing w:after="140"/>
    </w:pPr>
  </w:style>
  <w:style w:type="paragraph" w:styleId="Seznam">
    <w:name w:val="List"/>
    <w:basedOn w:val="Zkladntext"/>
    <w:rPr>
      <w:rFonts w:ascii="Arial" w:hAnsi="Arial" w:cs="Mangal"/>
      <w:sz w:val="24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Arial" w:hAnsi="Arial" w:cs="Mangal"/>
      <w:sz w:val="24"/>
    </w:rPr>
  </w:style>
  <w:style w:type="paragraph" w:styleId="Odstavecseseznamem">
    <w:name w:val="List Paragraph"/>
    <w:basedOn w:val="Normln"/>
    <w:uiPriority w:val="34"/>
    <w:qFormat/>
    <w:rsid w:val="00D31BE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F833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D4C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0223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02238"/>
    <w:pPr>
      <w:tabs>
        <w:tab w:val="center" w:pos="4536"/>
        <w:tab w:val="right" w:pos="9072"/>
      </w:tabs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454C09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891FC6"/>
    <w:rPr>
      <w:i/>
      <w:iCs/>
    </w:rPr>
  </w:style>
  <w:style w:type="character" w:customStyle="1" w:styleId="preformatted">
    <w:name w:val="preformatted"/>
    <w:basedOn w:val="Standardnpsmoodstavce"/>
    <w:rsid w:val="00891FC6"/>
  </w:style>
  <w:style w:type="paragraph" w:styleId="Nzev">
    <w:name w:val="Title"/>
    <w:basedOn w:val="Normln"/>
    <w:next w:val="Normln"/>
    <w:link w:val="NzevChar"/>
    <w:uiPriority w:val="10"/>
    <w:qFormat/>
    <w:rsid w:val="00CB45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B45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CB45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CB45F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8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8665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6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98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55C71-4974-4AA8-9F23-C044CEDD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2582</Words>
  <Characters>15240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 </cp:lastModifiedBy>
  <cp:revision>14</cp:revision>
  <dcterms:created xsi:type="dcterms:W3CDTF">2019-10-25T17:31:00Z</dcterms:created>
  <dcterms:modified xsi:type="dcterms:W3CDTF">2019-10-28T20:30:00Z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