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C8" w:rsidRPr="00A73658" w:rsidRDefault="00F06ED0">
      <w:pPr>
        <w:spacing w:after="57" w:line="240" w:lineRule="auto"/>
        <w:rPr>
          <w:sz w:val="32"/>
          <w:szCs w:val="32"/>
        </w:rPr>
      </w:pPr>
      <w:r w:rsidRPr="00A73658">
        <w:rPr>
          <w:b/>
          <w:sz w:val="32"/>
          <w:szCs w:val="32"/>
        </w:rPr>
        <w:t>Připomínky k oznámení záměru EIA SOKP 5</w:t>
      </w:r>
      <w:r w:rsidR="00D40ED4">
        <w:rPr>
          <w:b/>
          <w:sz w:val="32"/>
          <w:szCs w:val="32"/>
        </w:rPr>
        <w:t>20</w:t>
      </w:r>
      <w:r w:rsidRPr="00A73658">
        <w:rPr>
          <w:b/>
          <w:sz w:val="32"/>
          <w:szCs w:val="32"/>
        </w:rPr>
        <w:t xml:space="preserve"> </w:t>
      </w:r>
      <w:r w:rsidR="00A73658" w:rsidRPr="00A73658">
        <w:rPr>
          <w:b/>
          <w:sz w:val="32"/>
          <w:szCs w:val="32"/>
        </w:rPr>
        <w:t>Březiněves</w:t>
      </w:r>
      <w:r w:rsidR="00D40ED4">
        <w:rPr>
          <w:b/>
          <w:sz w:val="32"/>
          <w:szCs w:val="32"/>
        </w:rPr>
        <w:t xml:space="preserve"> - Satalice</w:t>
      </w:r>
    </w:p>
    <w:p w:rsidR="008245C8" w:rsidRDefault="008245C8">
      <w:pPr>
        <w:spacing w:after="57" w:line="240" w:lineRule="auto"/>
        <w:jc w:val="both"/>
        <w:rPr>
          <w:rFonts w:ascii="Calibri" w:hAnsi="Calibri" w:cstheme="minorHAnsi"/>
          <w:sz w:val="24"/>
          <w:szCs w:val="24"/>
        </w:rPr>
      </w:pPr>
    </w:p>
    <w:p w:rsidR="008245C8" w:rsidRDefault="00F06ED0">
      <w:pPr>
        <w:spacing w:after="57" w:line="240" w:lineRule="auto"/>
        <w:jc w:val="both"/>
        <w:rPr>
          <w:rFonts w:ascii="Calibri" w:hAnsi="Calibri"/>
        </w:rPr>
      </w:pPr>
      <w:r>
        <w:rPr>
          <w:rFonts w:cstheme="minorHAnsi"/>
          <w:sz w:val="24"/>
          <w:szCs w:val="24"/>
        </w:rPr>
        <w:t>Ministerstvo životního prostředí</w:t>
      </w:r>
    </w:p>
    <w:p w:rsidR="008245C8" w:rsidRDefault="00F06ED0">
      <w:pPr>
        <w:spacing w:after="57" w:line="240" w:lineRule="auto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Odbor posuzování vlivů na životní prostředí a integrované prevence, </w:t>
      </w:r>
    </w:p>
    <w:p w:rsidR="008245C8" w:rsidRDefault="00F06ED0">
      <w:pPr>
        <w:spacing w:after="57" w:line="240" w:lineRule="auto"/>
        <w:jc w:val="both"/>
        <w:rPr>
          <w:rFonts w:ascii="Calibri" w:hAnsi="Calibri"/>
        </w:rPr>
      </w:pPr>
      <w:r>
        <w:rPr>
          <w:rFonts w:cstheme="minorHAnsi"/>
          <w:sz w:val="24"/>
          <w:szCs w:val="24"/>
        </w:rPr>
        <w:t>Vršovická 65, 100 10 Praha 10</w:t>
      </w:r>
    </w:p>
    <w:p w:rsidR="008245C8" w:rsidRDefault="008245C8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spacing w:after="57" w:line="240" w:lineRule="auto"/>
        <w:jc w:val="both"/>
        <w:rPr>
          <w:rFonts w:ascii="Calibri" w:hAnsi="Calibri"/>
        </w:rPr>
      </w:pPr>
      <w:r>
        <w:rPr>
          <w:sz w:val="24"/>
          <w:szCs w:val="24"/>
        </w:rPr>
        <w:t>Vyjádření je rozděleno na dvě části:</w:t>
      </w:r>
    </w:p>
    <w:p w:rsidR="008245C8" w:rsidRDefault="00F06ED0">
      <w:pPr>
        <w:pStyle w:val="Odstavecseseznamem"/>
        <w:numPr>
          <w:ilvl w:val="0"/>
          <w:numId w:val="1"/>
        </w:num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Nesouhlas s navrhovaným záměrem a odůvodnění.</w:t>
      </w:r>
    </w:p>
    <w:p w:rsidR="008245C8" w:rsidRDefault="00F06ED0">
      <w:pPr>
        <w:pStyle w:val="Odstavecseseznamem"/>
        <w:numPr>
          <w:ilvl w:val="0"/>
          <w:numId w:val="1"/>
        </w:numPr>
        <w:spacing w:after="57" w:line="240" w:lineRule="auto"/>
        <w:jc w:val="both"/>
        <w:rPr>
          <w:rFonts w:ascii="Calibri" w:hAnsi="Calibri"/>
        </w:rPr>
      </w:pPr>
      <w:bookmarkStart w:id="0" w:name="__DdeLink__171_973622699"/>
      <w:r>
        <w:rPr>
          <w:sz w:val="24"/>
          <w:szCs w:val="24"/>
        </w:rPr>
        <w:t>Požadavky pro posuzování záměru podle zákona č. 100/2001 Sb. o posuzování vlivů na životní prostředí.</w:t>
      </w:r>
      <w:bookmarkEnd w:id="0"/>
    </w:p>
    <w:p w:rsidR="008245C8" w:rsidRDefault="008245C8">
      <w:pPr>
        <w:pStyle w:val="Odstavecseseznamem"/>
        <w:spacing w:after="57" w:line="240" w:lineRule="auto"/>
        <w:ind w:left="1440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pStyle w:val="Odstavecseseznamem"/>
        <w:spacing w:after="57" w:line="240" w:lineRule="auto"/>
        <w:jc w:val="both"/>
        <w:rPr>
          <w:rFonts w:ascii="Calibri" w:hAnsi="Calibri"/>
        </w:rPr>
      </w:pPr>
      <w:r>
        <w:rPr>
          <w:b/>
          <w:sz w:val="28"/>
          <w:szCs w:val="28"/>
        </w:rPr>
        <w:t>1. Nesouhlas se záměrem a odůvodnění</w:t>
      </w:r>
    </w:p>
    <w:p w:rsidR="00CD607B" w:rsidRDefault="007E2884" w:rsidP="00CD607B">
      <w:pPr>
        <w:spacing w:after="57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Nesouhlasím</w:t>
      </w:r>
      <w:r w:rsidR="00CD607B">
        <w:rPr>
          <w:rFonts w:ascii="Calibri" w:hAnsi="Calibri"/>
          <w:b/>
          <w:sz w:val="24"/>
          <w:szCs w:val="24"/>
        </w:rPr>
        <w:t xml:space="preserve"> s vymezením koridoru Silničního okruhu kolem Prahy D0 v trase Březiněves – Satalice (520) a navazujícími úseky 519 (Suchdol – Březiněves) a 518 (Ruzyně – Suchdol).</w:t>
      </w:r>
    </w:p>
    <w:p w:rsidR="008245C8" w:rsidRDefault="008245C8">
      <w:pPr>
        <w:spacing w:after="57" w:line="240" w:lineRule="auto"/>
        <w:jc w:val="both"/>
        <w:rPr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>Nefunkční dopravní řešení a nesoulad s evropskou legislativou TEN-T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Silniční okruh kolem Prahy (dále SOKP) je součástí IV. multimodálního koridoru Berlín – Istanbul transevropské dopravní sítě. K zásadám rozvoje TEN-T patří především zvýšení plynulosti </w:t>
      </w:r>
      <w:r w:rsidR="00E65557">
        <w:rPr>
          <w:sz w:val="24"/>
          <w:szCs w:val="24"/>
        </w:rPr>
        <w:br/>
      </w:r>
      <w:r>
        <w:rPr>
          <w:sz w:val="24"/>
          <w:szCs w:val="24"/>
        </w:rPr>
        <w:t>a bezpečnosti provozu, rychlé spojení velkých aglomerací, obcházení městských oblastí, oddělení městské a tranzitní dopravy.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SOKP by měl řešit tranzitní / dálkové dopravní vztahy</w:t>
      </w:r>
      <w:r>
        <w:rPr>
          <w:sz w:val="24"/>
          <w:szCs w:val="24"/>
        </w:rPr>
        <w:t xml:space="preserve">, např. Hradec Králové – Plzeň nebo Berlín – Vídeň, NIKOLIV </w:t>
      </w:r>
      <w:r w:rsidR="00CD607B">
        <w:rPr>
          <w:sz w:val="24"/>
          <w:szCs w:val="24"/>
        </w:rPr>
        <w:t>vnitroměstskou a příměstskou dopravu</w:t>
      </w:r>
      <w:r>
        <w:rPr>
          <w:sz w:val="24"/>
          <w:szCs w:val="24"/>
        </w:rPr>
        <w:t xml:space="preserve">. Pokud však na něj budou kladeny požadavky, aby zároveň sloužil potřebám městské dopravy, nebude fungovat tak, jak má. </w:t>
      </w:r>
      <w:r w:rsidR="003862C3">
        <w:rPr>
          <w:sz w:val="24"/>
          <w:szCs w:val="24"/>
        </w:rPr>
        <w:br/>
      </w:r>
      <w:r>
        <w:rPr>
          <w:sz w:val="24"/>
          <w:szCs w:val="24"/>
        </w:rPr>
        <w:t xml:space="preserve">SOKP dle ZÚR je </w:t>
      </w:r>
      <w:r>
        <w:rPr>
          <w:b/>
          <w:sz w:val="24"/>
          <w:szCs w:val="24"/>
        </w:rPr>
        <w:t>v rozporu s evropskou legislativou TEN-T</w:t>
      </w:r>
      <w:r>
        <w:rPr>
          <w:sz w:val="24"/>
          <w:szCs w:val="24"/>
        </w:rPr>
        <w:t xml:space="preserve">, neboť vede zastavěným </w:t>
      </w:r>
      <w:r w:rsidR="00E65557">
        <w:rPr>
          <w:sz w:val="24"/>
          <w:szCs w:val="24"/>
        </w:rPr>
        <w:br/>
      </w:r>
      <w:r>
        <w:rPr>
          <w:sz w:val="24"/>
          <w:szCs w:val="24"/>
        </w:rPr>
        <w:t xml:space="preserve">a zastavitelným územím hl. města Prahy </w:t>
      </w:r>
      <w:r w:rsidR="00CD607B">
        <w:rPr>
          <w:sz w:val="24"/>
          <w:szCs w:val="24"/>
        </w:rPr>
        <w:t xml:space="preserve">a středočeských obcí </w:t>
      </w:r>
      <w:r>
        <w:rPr>
          <w:sz w:val="24"/>
          <w:szCs w:val="24"/>
        </w:rPr>
        <w:t xml:space="preserve">a nechrání obyvatele </w:t>
      </w:r>
      <w:r w:rsidR="00CD607B">
        <w:rPr>
          <w:sz w:val="24"/>
          <w:szCs w:val="24"/>
        </w:rPr>
        <w:t>pražské aglomerace</w:t>
      </w:r>
      <w:r>
        <w:rPr>
          <w:sz w:val="24"/>
          <w:szCs w:val="24"/>
        </w:rPr>
        <w:t xml:space="preserve"> před nepříznivými účinky tranzitní silniční dopravy (nesoulad s čl. 30, e) – nejedná se o obchvat, ale o průtah městem. Realizace dnes již dálničního průtahu by měla velmi negativní dopady na cca 100 000 lidí na severu a východě Prahy.</w:t>
      </w:r>
    </w:p>
    <w:p w:rsidR="008245C8" w:rsidRDefault="008245C8">
      <w:pPr>
        <w:pStyle w:val="Odstavecseseznamem"/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Zastaralá koncepce neodpovídající současné situaci a budoucímu vývoji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Současný návrh SOKP dle ZÚR </w:t>
      </w:r>
      <w:r>
        <w:rPr>
          <w:b/>
          <w:sz w:val="24"/>
          <w:szCs w:val="24"/>
        </w:rPr>
        <w:t>vychází z koncepce 60. let minulého století</w:t>
      </w:r>
      <w:r>
        <w:rPr>
          <w:sz w:val="24"/>
          <w:szCs w:val="24"/>
        </w:rPr>
        <w:t xml:space="preserve">. Od té doby došlo </w:t>
      </w:r>
      <w:r w:rsidR="00E65557">
        <w:rPr>
          <w:sz w:val="24"/>
          <w:szCs w:val="24"/>
        </w:rPr>
        <w:br/>
      </w:r>
      <w:r>
        <w:rPr>
          <w:sz w:val="24"/>
          <w:szCs w:val="24"/>
        </w:rPr>
        <w:t xml:space="preserve">k významnému rozvoji města a obrovskému nárůstu dopravy v důsledku přechodu na tržní hospodářství a zapojení do evropských struktur. SOKP </w:t>
      </w:r>
      <w:r>
        <w:rPr>
          <w:b/>
          <w:sz w:val="24"/>
          <w:szCs w:val="24"/>
        </w:rPr>
        <w:t xml:space="preserve">nebere ohled na </w:t>
      </w:r>
      <w:r w:rsidR="004B33CD">
        <w:rPr>
          <w:b/>
          <w:sz w:val="24"/>
          <w:szCs w:val="24"/>
        </w:rPr>
        <w:t>aktuální kontext a budoucí rozvoj</w:t>
      </w:r>
      <w:r>
        <w:rPr>
          <w:rFonts w:cstheme="minorHAnsi"/>
        </w:rPr>
        <w:t xml:space="preserve"> </w:t>
      </w:r>
      <w:r>
        <w:rPr>
          <w:sz w:val="24"/>
          <w:szCs w:val="24"/>
        </w:rPr>
        <w:t xml:space="preserve">a zavádí na území </w:t>
      </w:r>
      <w:proofErr w:type="spellStart"/>
      <w:proofErr w:type="gramStart"/>
      <w:r>
        <w:rPr>
          <w:sz w:val="24"/>
          <w:szCs w:val="24"/>
        </w:rPr>
        <w:t>hl.m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Prahy tranzitní, zejména kamionovou dopravu. </w:t>
      </w:r>
    </w:p>
    <w:p w:rsidR="008245C8" w:rsidRDefault="008245C8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Nevhodné umístění SOKP z hlediska demografie a územního rozvoje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SOKP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jako součást TEN-T s  kamionovým provozem je veden skrz pražské městské části a obce, kde se očekává největší nárůst počtu obyvatel:</w:t>
      </w:r>
      <w:r>
        <w:rPr>
          <w:sz w:val="24"/>
          <w:szCs w:val="24"/>
        </w:rPr>
        <w:t xml:space="preserve"> Dolní Chabry, Suchdol, Lysolaje, Horoměřice, Ďáblice, Březiněves, </w:t>
      </w:r>
      <w:r w:rsidR="00CD607B">
        <w:rPr>
          <w:sz w:val="24"/>
          <w:szCs w:val="24"/>
        </w:rPr>
        <w:t>Satalice, Vinoř, Čakovice, atd.</w:t>
      </w:r>
      <w:r>
        <w:rPr>
          <w:sz w:val="24"/>
          <w:szCs w:val="24"/>
        </w:rPr>
        <w:t xml:space="preserve"> Navrhovat trasu dálnice přes sídelní útvary s tendencí dalšího růstu počtu obyvatel je naprosto nevhodné.</w:t>
      </w:r>
    </w:p>
    <w:p w:rsidR="003862C3" w:rsidRDefault="00F06ED0" w:rsidP="003862C3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Trasa SOKP navíc zabírá cca 30,6 km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zastavitelné plochy pro bytovou a občanskou vybavenost na území </w:t>
      </w:r>
      <w:proofErr w:type="spellStart"/>
      <w:proofErr w:type="gramStart"/>
      <w:r>
        <w:rPr>
          <w:sz w:val="24"/>
          <w:szCs w:val="24"/>
        </w:rPr>
        <w:t>hl.m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Prahy. Vytváří umělou bariéru uvnitř městského organismu, která poruší vzájemné vazby a funkce stávající zástavby. Realizace SOKP </w:t>
      </w:r>
      <w:r w:rsidR="00994D79">
        <w:rPr>
          <w:sz w:val="24"/>
          <w:szCs w:val="24"/>
        </w:rPr>
        <w:t>dle ZÚR pravděpodobně povede k nežádoucí</w:t>
      </w:r>
      <w:r>
        <w:rPr>
          <w:sz w:val="24"/>
          <w:szCs w:val="24"/>
        </w:rPr>
        <w:t xml:space="preserve"> výstavbě logistických, průmyslových a komerčních objektů, což bude mít za následek další nárůst dopravní zátěže a zhoršení životního prostředí v Praze.</w:t>
      </w:r>
      <w:r>
        <w:t xml:space="preserve"> </w:t>
      </w:r>
    </w:p>
    <w:p w:rsidR="008245C8" w:rsidRDefault="008245C8">
      <w:pPr>
        <w:spacing w:after="57" w:line="240" w:lineRule="auto"/>
        <w:jc w:val="both"/>
        <w:rPr>
          <w:sz w:val="24"/>
          <w:szCs w:val="24"/>
        </w:rPr>
      </w:pPr>
    </w:p>
    <w:p w:rsidR="008245C8" w:rsidRDefault="008245C8">
      <w:pPr>
        <w:spacing w:after="57" w:line="240" w:lineRule="auto"/>
        <w:jc w:val="both"/>
        <w:rPr>
          <w:rStyle w:val="Internetovodkaz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Střety se životním prostředím</w:t>
      </w:r>
    </w:p>
    <w:p w:rsidR="008245C8" w:rsidRDefault="00F06ED0">
      <w:pPr>
        <w:spacing w:after="57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SOKP dle ZÚR </w:t>
      </w:r>
      <w:r>
        <w:rPr>
          <w:b/>
          <w:sz w:val="24"/>
          <w:szCs w:val="24"/>
        </w:rPr>
        <w:t>vede v těsné blízkosti či protíná několik přírodních památek, ÚSES a EVL Natura 2000</w:t>
      </w:r>
      <w:r>
        <w:rPr>
          <w:sz w:val="24"/>
          <w:szCs w:val="24"/>
        </w:rPr>
        <w:t xml:space="preserve"> (Housle, Tiché údolí, Roztocký háj, Sedlecké skály, Kaňon Vltavy u Sedlce, Zámky, </w:t>
      </w:r>
      <w:proofErr w:type="spellStart"/>
      <w:r>
        <w:rPr>
          <w:sz w:val="24"/>
          <w:szCs w:val="24"/>
        </w:rPr>
        <w:t>Drahaň</w:t>
      </w:r>
      <w:proofErr w:type="spellEnd"/>
      <w:r>
        <w:rPr>
          <w:sz w:val="24"/>
          <w:szCs w:val="24"/>
        </w:rPr>
        <w:t xml:space="preserve"> -Troja, </w:t>
      </w:r>
      <w:r w:rsidR="003862C3">
        <w:rPr>
          <w:rFonts w:ascii="Calibri" w:hAnsi="Calibri"/>
          <w:sz w:val="24"/>
          <w:szCs w:val="24"/>
        </w:rPr>
        <w:t>Bažantnice v Satalicích, Vinořský park</w:t>
      </w:r>
      <w:r w:rsidR="003862C3">
        <w:rPr>
          <w:sz w:val="24"/>
          <w:szCs w:val="24"/>
        </w:rPr>
        <w:t xml:space="preserve"> </w:t>
      </w:r>
      <w:r>
        <w:rPr>
          <w:sz w:val="24"/>
          <w:szCs w:val="24"/>
        </w:rPr>
        <w:t>atd.). Realizace SOKP bude mít evidentně negativní vliv na uvedené přírodní památky včetně fauny a flóry a omezí jejich rekreační funkci pro obyvatele Prahy. Dle vyjádření České inspekce životního prostředí v rámci procesu EIA 2001-2002 varianta J (</w:t>
      </w:r>
      <w:r w:rsidR="00461601">
        <w:rPr>
          <w:sz w:val="24"/>
          <w:szCs w:val="24"/>
        </w:rPr>
        <w:t>jižní</w:t>
      </w:r>
      <w:r>
        <w:rPr>
          <w:sz w:val="24"/>
          <w:szCs w:val="24"/>
        </w:rPr>
        <w:t xml:space="preserve">) </w:t>
      </w:r>
      <w:r>
        <w:rPr>
          <w:i/>
          <w:sz w:val="24"/>
          <w:szCs w:val="24"/>
        </w:rPr>
        <w:t>„nepřímo zasahuje a dotýká se největšího počtu zvláště chráněných území a omezuje, v některých případech dokonce likviduje, nejvíce stanovišť s výskytem zvláště chráněných druhů živočichů. Z pohledu vlivu na krajinný ráz je rovněž varianta J nepřijatelná,…“</w:t>
      </w:r>
    </w:p>
    <w:p w:rsidR="008245C8" w:rsidRDefault="008245C8">
      <w:pPr>
        <w:spacing w:after="57" w:line="240" w:lineRule="auto"/>
        <w:jc w:val="both"/>
        <w:rPr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rFonts w:ascii="Calibri" w:hAnsi="Calibri"/>
          <w:b/>
        </w:rPr>
      </w:pPr>
      <w:r>
        <w:rPr>
          <w:b/>
          <w:sz w:val="24"/>
          <w:szCs w:val="24"/>
        </w:rPr>
        <w:t>Zhoršení životních podmínek v již zatížených lokalitách</w:t>
      </w:r>
    </w:p>
    <w:p w:rsidR="008245C8" w:rsidRDefault="00461601">
      <w:pPr>
        <w:spacing w:after="57" w:line="240" w:lineRule="auto"/>
        <w:jc w:val="both"/>
        <w:rPr>
          <w:sz w:val="24"/>
          <w:szCs w:val="24"/>
        </w:rPr>
      </w:pPr>
      <w:r w:rsidRPr="00461601">
        <w:rPr>
          <w:sz w:val="24"/>
          <w:szCs w:val="24"/>
        </w:rPr>
        <w:t xml:space="preserve">Městské části a obce na severovýchodě Prahy, na jejichž území má vést trasa stavby 520, </w:t>
      </w:r>
      <w:r w:rsidRPr="00461601">
        <w:rPr>
          <w:b/>
          <w:sz w:val="24"/>
          <w:szCs w:val="24"/>
        </w:rPr>
        <w:t xml:space="preserve">jsou již </w:t>
      </w:r>
      <w:r w:rsidR="00E959AC">
        <w:rPr>
          <w:b/>
          <w:sz w:val="24"/>
          <w:szCs w:val="24"/>
        </w:rPr>
        <w:br/>
      </w:r>
      <w:r w:rsidRPr="00461601">
        <w:rPr>
          <w:b/>
          <w:sz w:val="24"/>
          <w:szCs w:val="24"/>
        </w:rPr>
        <w:t>v současnosti zatíženy silniční dopravou ze stávajících komunikací</w:t>
      </w:r>
      <w:r w:rsidRPr="00461601">
        <w:rPr>
          <w:sz w:val="24"/>
          <w:szCs w:val="24"/>
        </w:rPr>
        <w:t xml:space="preserve"> (např. D8, Cínovecká, Novopacká, D10, SOKP 510, komunikace II. třídy) </w:t>
      </w:r>
      <w:r w:rsidRPr="00461601">
        <w:rPr>
          <w:b/>
          <w:sz w:val="24"/>
          <w:szCs w:val="24"/>
        </w:rPr>
        <w:t>a leteckou dopravou</w:t>
      </w:r>
      <w:r w:rsidRPr="00461601">
        <w:rPr>
          <w:sz w:val="24"/>
          <w:szCs w:val="24"/>
        </w:rPr>
        <w:t xml:space="preserve"> z Letiště Václava Havla, Letňany a Kbely. V případě realizace paralelní dráhy na LVH by se situace v několika MČ a obcích nadále zhoršila. Není tedy žádoucí přivádět do této oblasti další dopravní zátěž. Naopak je zapotřebí odvést tranzit dál od </w:t>
      </w:r>
      <w:proofErr w:type="spellStart"/>
      <w:proofErr w:type="gramStart"/>
      <w:r w:rsidRPr="00461601">
        <w:rPr>
          <w:sz w:val="24"/>
          <w:szCs w:val="24"/>
        </w:rPr>
        <w:t>hl.m</w:t>
      </w:r>
      <w:proofErr w:type="spellEnd"/>
      <w:r w:rsidRPr="00461601">
        <w:rPr>
          <w:sz w:val="24"/>
          <w:szCs w:val="24"/>
        </w:rPr>
        <w:t>.</w:t>
      </w:r>
      <w:proofErr w:type="gramEnd"/>
      <w:r w:rsidRPr="00461601">
        <w:rPr>
          <w:sz w:val="24"/>
          <w:szCs w:val="24"/>
        </w:rPr>
        <w:t xml:space="preserve"> Prahy.</w:t>
      </w:r>
    </w:p>
    <w:p w:rsidR="00461601" w:rsidRDefault="00461601">
      <w:pPr>
        <w:spacing w:after="57" w:line="240" w:lineRule="auto"/>
        <w:jc w:val="both"/>
        <w:rPr>
          <w:b/>
          <w:sz w:val="24"/>
          <w:szCs w:val="24"/>
        </w:rPr>
      </w:pPr>
    </w:p>
    <w:p w:rsidR="008245C8" w:rsidRDefault="00CF092D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</w:rPr>
      </w:pPr>
      <w:r>
        <w:rPr>
          <w:b/>
          <w:sz w:val="24"/>
          <w:szCs w:val="24"/>
        </w:rPr>
        <w:t>Výrazný nárůst automobilové dopravy</w:t>
      </w:r>
      <w:r w:rsidR="002F0052">
        <w:rPr>
          <w:b/>
          <w:sz w:val="24"/>
          <w:szCs w:val="24"/>
        </w:rPr>
        <w:t xml:space="preserve"> v pražské aglomeraci</w:t>
      </w:r>
      <w:bookmarkStart w:id="1" w:name="_GoBack"/>
      <w:bookmarkEnd w:id="1"/>
    </w:p>
    <w:p w:rsidR="00A060EA" w:rsidRDefault="00A060EA">
      <w:pPr>
        <w:spacing w:after="57" w:line="240" w:lineRule="auto"/>
        <w:jc w:val="both"/>
        <w:rPr>
          <w:sz w:val="24"/>
          <w:szCs w:val="24"/>
        </w:rPr>
      </w:pPr>
      <w:r w:rsidRPr="00A060EA">
        <w:rPr>
          <w:sz w:val="24"/>
          <w:szCs w:val="24"/>
        </w:rPr>
        <w:t xml:space="preserve">Praha nebude schopna absorbovat veškerou tranzitní a kamionovou dopravu z 9 dálnic napojených na Pražský okruh. Podle dostupných prognóz je zřejmé, že </w:t>
      </w:r>
      <w:r w:rsidRPr="00A060EA">
        <w:rPr>
          <w:b/>
          <w:sz w:val="24"/>
          <w:szCs w:val="24"/>
        </w:rPr>
        <w:t>několik úseků SOKP včetně radiál bude kapacitně nevyhovujících</w:t>
      </w:r>
      <w:r w:rsidRPr="00A060EA">
        <w:rPr>
          <w:sz w:val="24"/>
          <w:szCs w:val="24"/>
        </w:rPr>
        <w:t xml:space="preserve"> a bude zde </w:t>
      </w:r>
      <w:r w:rsidRPr="00A060EA">
        <w:rPr>
          <w:b/>
          <w:sz w:val="24"/>
          <w:szCs w:val="24"/>
        </w:rPr>
        <w:t>docházet k vážným dopravním komplikacím</w:t>
      </w:r>
      <w:r w:rsidRPr="00A060EA">
        <w:rPr>
          <w:sz w:val="24"/>
          <w:szCs w:val="24"/>
        </w:rPr>
        <w:t>, což se může projevit negativně i na dalších komunikacích uvnitř Prahy. Podle kartogramů intenzit studie ČVUT (2016) má dojít k výraznému nárůstu dopravy a přetížení příjezdových komunikací a některých místních komunikací a také stávajících úseků</w:t>
      </w:r>
      <w:r w:rsidR="00A51AFD">
        <w:rPr>
          <w:sz w:val="24"/>
          <w:szCs w:val="24"/>
        </w:rPr>
        <w:t xml:space="preserve"> SOKP</w:t>
      </w:r>
      <w:r w:rsidRPr="00A060EA">
        <w:rPr>
          <w:sz w:val="24"/>
          <w:szCs w:val="24"/>
        </w:rPr>
        <w:t xml:space="preserve">, zejména 510 (Běchovice - Satalice) a 517 (Řepy – Ruzyně). </w:t>
      </w:r>
    </w:p>
    <w:p w:rsidR="008245C8" w:rsidRDefault="00E959AC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V dokumentaci</w:t>
      </w:r>
      <w:r w:rsidR="00F06ED0">
        <w:rPr>
          <w:sz w:val="24"/>
          <w:szCs w:val="24"/>
        </w:rPr>
        <w:t xml:space="preserve"> je výrazně </w:t>
      </w:r>
      <w:r w:rsidR="00F06ED0">
        <w:rPr>
          <w:b/>
          <w:sz w:val="24"/>
          <w:szCs w:val="24"/>
        </w:rPr>
        <w:t>podceněn jev dopravní indukce na stávajících komunikacích.</w:t>
      </w:r>
      <w:r w:rsidR="00F06ED0">
        <w:rPr>
          <w:sz w:val="24"/>
          <w:szCs w:val="24"/>
        </w:rPr>
        <w:t xml:space="preserve"> </w:t>
      </w:r>
    </w:p>
    <w:p w:rsidR="008245C8" w:rsidRDefault="00F06ED0">
      <w:pPr>
        <w:spacing w:after="57" w:line="240" w:lineRule="auto"/>
        <w:jc w:val="both"/>
        <w:rPr>
          <w:rFonts w:ascii="Calibri" w:hAnsi="Calibri"/>
        </w:rPr>
      </w:pPr>
      <w:r>
        <w:rPr>
          <w:sz w:val="24"/>
          <w:szCs w:val="24"/>
        </w:rPr>
        <w:t xml:space="preserve">Příklad z Prahy: V roce 2010 byla otevřena jižní část SOKP a očekával se výrazný pokles dopravy na Barrandovském mostě. Během pár let na tomto úseku MO však došlo k prudkému nárůstu dopravní zátěže a v roce 2018 byl Barrandovský most nejvytíženější komunikací v Praze (144 400 vozidel/ denně dle TSK 2018). Podobný scénář může nastat </w:t>
      </w:r>
      <w:r w:rsidR="008541F6">
        <w:rPr>
          <w:sz w:val="24"/>
          <w:szCs w:val="24"/>
        </w:rPr>
        <w:t>na vnitřním okruhu</w:t>
      </w:r>
      <w:r>
        <w:rPr>
          <w:sz w:val="24"/>
          <w:szCs w:val="24"/>
        </w:rPr>
        <w:t xml:space="preserve"> po zprovoznění severní části </w:t>
      </w:r>
      <w:r w:rsidR="008541F6">
        <w:rPr>
          <w:sz w:val="24"/>
          <w:szCs w:val="24"/>
        </w:rPr>
        <w:t>vnějšího okruhu</w:t>
      </w:r>
      <w:r>
        <w:rPr>
          <w:sz w:val="24"/>
          <w:szCs w:val="24"/>
        </w:rPr>
        <w:t>.</w:t>
      </w:r>
    </w:p>
    <w:p w:rsidR="008245C8" w:rsidRDefault="008245C8">
      <w:pPr>
        <w:spacing w:after="57" w:line="240" w:lineRule="auto"/>
        <w:jc w:val="both"/>
        <w:rPr>
          <w:rFonts w:ascii="Calibri" w:hAnsi="Calibri"/>
          <w:b/>
          <w:sz w:val="24"/>
          <w:szCs w:val="24"/>
          <w:u w:val="single"/>
        </w:rPr>
      </w:pPr>
    </w:p>
    <w:p w:rsidR="008245C8" w:rsidRDefault="00F06ED0">
      <w:pPr>
        <w:pStyle w:val="Odstavecseseznamem"/>
        <w:keepNext/>
        <w:numPr>
          <w:ilvl w:val="1"/>
          <w:numId w:val="5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Rozpor s klimatickým závazkem Prahy </w:t>
      </w:r>
    </w:p>
    <w:p w:rsidR="00A060EA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červnu 2019 přijalo zastupitelstvo HLMP klimatický závazek s cílem snížit emise CO2 v hlavním městě o minimálně 45 % do roku 2030 (oproti roku 2010) a dosáhnout nulových emisí CO2 nejpozději do roku 2050.</w:t>
      </w:r>
      <w:r w:rsidR="006A26D0">
        <w:rPr>
          <w:rFonts w:ascii="Calibri" w:hAnsi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Výstavba a provoz dálničního okruhu </w:t>
      </w:r>
      <w:r w:rsidR="009F22EE">
        <w:rPr>
          <w:sz w:val="24"/>
          <w:szCs w:val="24"/>
        </w:rPr>
        <w:t xml:space="preserve">v jižní variantě naopak </w:t>
      </w:r>
      <w:proofErr w:type="gramStart"/>
      <w:r w:rsidR="009F22EE">
        <w:rPr>
          <w:sz w:val="24"/>
          <w:szCs w:val="24"/>
        </w:rPr>
        <w:t>povede</w:t>
      </w:r>
      <w:proofErr w:type="gramEnd"/>
      <w:r w:rsidR="009F22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 obrovskému nárůstu emisí skleníkových plynů. V dopravně inženýrských podkladech je potvrzen velký nárůst dopravních výkonů IAD a kamionů v souvislosti s nabídkou nové silniční kapacity, což </w:t>
      </w:r>
      <w:r w:rsidR="00FF000F">
        <w:rPr>
          <w:sz w:val="24"/>
          <w:szCs w:val="24"/>
        </w:rPr>
        <w:t xml:space="preserve">bude </w:t>
      </w:r>
      <w:r>
        <w:rPr>
          <w:sz w:val="24"/>
          <w:szCs w:val="24"/>
        </w:rPr>
        <w:t>mít negativní dopad na celkové klima.</w:t>
      </w:r>
    </w:p>
    <w:p w:rsidR="00A060EA" w:rsidRDefault="00A060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245C8" w:rsidRDefault="008245C8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8245C8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pStyle w:val="Odstavecseseznamem"/>
        <w:spacing w:after="57" w:line="240" w:lineRule="auto"/>
        <w:ind w:left="0"/>
        <w:jc w:val="both"/>
        <w:rPr>
          <w:rFonts w:ascii="Calibri" w:hAnsi="Calibri"/>
        </w:rPr>
      </w:pPr>
      <w:r>
        <w:rPr>
          <w:b/>
          <w:sz w:val="28"/>
          <w:szCs w:val="28"/>
        </w:rPr>
        <w:t xml:space="preserve">2. Požadavky pro posuzování záměru </w:t>
      </w:r>
    </w:p>
    <w:p w:rsidR="008245C8" w:rsidRDefault="00F06ED0">
      <w:pPr>
        <w:spacing w:after="57" w:line="240" w:lineRule="auto"/>
        <w:jc w:val="both"/>
      </w:pPr>
      <w:r>
        <w:rPr>
          <w:sz w:val="24"/>
          <w:szCs w:val="24"/>
        </w:rPr>
        <w:t xml:space="preserve">Požaduji, aby záměr byl posuzován podle zákona č. 100/2001 Sb. o posuzování vlivů na životní prostředí a o změně některých souvisejících zákonů a byla vypracována dokumentace dle § 8 citovaného zákona, a to </w:t>
      </w:r>
      <w:r>
        <w:rPr>
          <w:b/>
          <w:sz w:val="24"/>
          <w:szCs w:val="24"/>
        </w:rPr>
        <w:t>variantně</w:t>
      </w:r>
      <w:r>
        <w:rPr>
          <w:sz w:val="24"/>
          <w:szCs w:val="24"/>
        </w:rPr>
        <w:t>.</w:t>
      </w:r>
    </w:p>
    <w:p w:rsidR="008245C8" w:rsidRDefault="008245C8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6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Posouzení </w:t>
      </w:r>
      <w:r w:rsidR="00A060EA">
        <w:rPr>
          <w:rFonts w:ascii="Calibri" w:hAnsi="Calibri"/>
          <w:b/>
          <w:sz w:val="24"/>
          <w:szCs w:val="24"/>
        </w:rPr>
        <w:t>variant trasování Pražského okruhu a řešení tranzitní dopravy</w:t>
      </w:r>
    </w:p>
    <w:p w:rsidR="00A060EA" w:rsidRDefault="00A060EA">
      <w:pPr>
        <w:spacing w:after="57" w:line="240" w:lineRule="auto"/>
        <w:jc w:val="both"/>
        <w:rPr>
          <w:sz w:val="24"/>
          <w:szCs w:val="24"/>
        </w:rPr>
      </w:pPr>
      <w:r w:rsidRPr="00A060EA">
        <w:rPr>
          <w:sz w:val="24"/>
          <w:szCs w:val="24"/>
        </w:rPr>
        <w:t xml:space="preserve">Požadujeme </w:t>
      </w:r>
      <w:r w:rsidRPr="00A060EA">
        <w:rPr>
          <w:b/>
          <w:sz w:val="24"/>
          <w:szCs w:val="24"/>
        </w:rPr>
        <w:t>posouzení více variant trasování Pražského okruhu včetně varianty regionální a řešení tranzitní dopravy v metropolitní oblasti</w:t>
      </w:r>
      <w:r w:rsidRPr="00A060EA">
        <w:rPr>
          <w:sz w:val="24"/>
          <w:szCs w:val="24"/>
        </w:rPr>
        <w:t xml:space="preserve"> (aglomerační okruh, další propojky dálnic např. I/16</w:t>
      </w:r>
      <w:r w:rsidR="00A567CE">
        <w:rPr>
          <w:sz w:val="24"/>
          <w:szCs w:val="24"/>
        </w:rPr>
        <w:t>, přesun části nákladní dopravy na železnici</w:t>
      </w:r>
      <w:r w:rsidRPr="00A060EA">
        <w:rPr>
          <w:sz w:val="24"/>
          <w:szCs w:val="24"/>
        </w:rPr>
        <w:t>).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letech 2001 – 2002 bylo v rámci procesu EIA posuzováno 5 variant. </w:t>
      </w:r>
      <w:r>
        <w:rPr>
          <w:b/>
          <w:sz w:val="24"/>
          <w:szCs w:val="24"/>
        </w:rPr>
        <w:t>Mnoho veřejných institucí</w:t>
      </w:r>
      <w:r>
        <w:rPr>
          <w:sz w:val="24"/>
          <w:szCs w:val="24"/>
        </w:rPr>
        <w:t xml:space="preserve"> (např. Česká inspekce životního prostředí, odbor ochrany ovzduší MŽP, odbor životního prostředí magistrátu HMP, Ministerstvo zemědělství (odbor lesů), Středočeský kraj, zpracovatel posudku, atd.) </w:t>
      </w:r>
      <w:r>
        <w:rPr>
          <w:b/>
          <w:sz w:val="24"/>
          <w:szCs w:val="24"/>
        </w:rPr>
        <w:t xml:space="preserve">doporučilo jako vhodnější variantu </w:t>
      </w:r>
      <w:proofErr w:type="spellStart"/>
      <w:r>
        <w:rPr>
          <w:b/>
          <w:sz w:val="24"/>
          <w:szCs w:val="24"/>
        </w:rPr>
        <w:t>Ss</w:t>
      </w:r>
      <w:proofErr w:type="spellEnd"/>
      <w:r>
        <w:rPr>
          <w:sz w:val="24"/>
          <w:szCs w:val="24"/>
        </w:rPr>
        <w:t xml:space="preserve">. Ministerstvo životního prostředí ve svém stanovisku z 30. 4. 2002 doporučilo jako vhodnější variantu 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>, zatímco J byla připuštěna jen jako krajní řešení. Nutno poznamenat, že J by zřejmě vůbec neprošla nebýt obrovského tlaku na její realizaci ze strany tehdejší politické reprezentace.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roce 2007 studie Mott MacDonald doporučila variantu 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 xml:space="preserve">. V roce 2008 oponentní posudek FAST VUT Brno potvrdil věrohodnost této studie. Na základě politické objednávky byly následně zpracovány další studie, které preferovaly variantu jižní. Tato </w:t>
      </w:r>
      <w:r>
        <w:rPr>
          <w:b/>
          <w:sz w:val="24"/>
          <w:szCs w:val="24"/>
        </w:rPr>
        <w:t>další porovnání vycházela převážně ze zavádějícího předpokladu, že vzdálenější varianta by znamenala větší zatížení komunikací uvnitř Prahy</w:t>
      </w:r>
      <w:r>
        <w:rPr>
          <w:sz w:val="24"/>
          <w:szCs w:val="24"/>
        </w:rPr>
        <w:t>. Ve skutečnosti celková dopravní zátěž na území hl. města Prahy mj. kvůli přivedení tranzitní kamionové dopravy do městských částí by byla výrazně vyšší v případě jižní varianty. „Odlehčené“ komunikace by se brzy zaplnily v důsledku dopravní indukce</w:t>
      </w:r>
      <w:r>
        <w:rPr>
          <w:b/>
          <w:sz w:val="24"/>
          <w:szCs w:val="24"/>
        </w:rPr>
        <w:t>. Čím menší vzdálenost dálničního okruhu od města, tím silnější bude efekt dopravní indukce a tím větší nárůst dopravních výkonů IAD na území hl. Prahy.</w:t>
      </w:r>
      <w:r>
        <w:rPr>
          <w:sz w:val="24"/>
          <w:szCs w:val="24"/>
        </w:rPr>
        <w:t xml:space="preserve"> </w:t>
      </w:r>
    </w:p>
    <w:p w:rsidR="008245C8" w:rsidRDefault="00F06ED0">
      <w:pPr>
        <w:spacing w:after="57" w:line="240" w:lineRule="auto"/>
        <w:jc w:val="both"/>
      </w:pPr>
      <w:r>
        <w:rPr>
          <w:b/>
          <w:sz w:val="24"/>
          <w:szCs w:val="24"/>
        </w:rPr>
        <w:t xml:space="preserve">Neposouzení variant by bylo v rozporu se zákonem. </w:t>
      </w:r>
      <w:r>
        <w:rPr>
          <w:sz w:val="24"/>
          <w:szCs w:val="24"/>
        </w:rPr>
        <w:t>Ustanovení § 6 odst. 4 zákona o posuzování vlivů stanoví, že „pokud se jedná o záměr podle § 4 odst. 1 písm. a), musí oznamovatel vždy uvést nástin studovaných hlavních variant a stěžejní důvody pro jeho volbu vzhledem k vlivu na životní prostředí.“</w:t>
      </w:r>
      <w:r>
        <w:t xml:space="preserve"> </w:t>
      </w:r>
      <w:r>
        <w:rPr>
          <w:sz w:val="24"/>
          <w:szCs w:val="24"/>
        </w:rPr>
        <w:t>Dokumentace EIA by měla obsahovat nástin variant záměru a stěžejní důvody pro volbu výsledné varianty vzhledem k vlivu na životní prostředí.</w:t>
      </w:r>
    </w:p>
    <w:p w:rsidR="008245C8" w:rsidRDefault="008245C8">
      <w:pPr>
        <w:pStyle w:val="Odstavecseseznamem"/>
        <w:spacing w:after="57" w:line="240" w:lineRule="auto"/>
        <w:ind w:left="1440"/>
        <w:jc w:val="both"/>
        <w:rPr>
          <w:rFonts w:ascii="Calibri" w:hAnsi="Calibri"/>
          <w:b/>
          <w:sz w:val="24"/>
          <w:szCs w:val="24"/>
        </w:rPr>
      </w:pPr>
    </w:p>
    <w:p w:rsidR="008245C8" w:rsidRPr="00423AAA" w:rsidRDefault="00F06ED0">
      <w:pPr>
        <w:pStyle w:val="Odstavecseseznamem"/>
        <w:numPr>
          <w:ilvl w:val="1"/>
          <w:numId w:val="6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 w:rsidRPr="00423AAA">
        <w:rPr>
          <w:b/>
          <w:sz w:val="24"/>
          <w:szCs w:val="24"/>
        </w:rPr>
        <w:t xml:space="preserve">Požadavky na technické řešení </w:t>
      </w:r>
      <w:r w:rsidR="00A73658">
        <w:rPr>
          <w:b/>
          <w:sz w:val="24"/>
          <w:szCs w:val="24"/>
        </w:rPr>
        <w:t>úseku SOKP 5</w:t>
      </w:r>
      <w:r w:rsidR="0008599A">
        <w:rPr>
          <w:b/>
          <w:sz w:val="24"/>
          <w:szCs w:val="24"/>
        </w:rPr>
        <w:t>20</w:t>
      </w:r>
    </w:p>
    <w:p w:rsidR="00D41063" w:rsidRPr="00D41063" w:rsidRDefault="00D41063" w:rsidP="00D41063">
      <w:pPr>
        <w:pStyle w:val="Odstavecseseznamem"/>
        <w:numPr>
          <w:ilvl w:val="0"/>
          <w:numId w:val="4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D41063">
        <w:rPr>
          <w:rFonts w:ascii="Calibri" w:hAnsi="Calibri"/>
          <w:sz w:val="24"/>
          <w:szCs w:val="24"/>
        </w:rPr>
        <w:t>Vybudovat přivaděč  II/244 (z Kostelce n. L., Brandýsa n. L. s napojením na D0 směr Čakovice, Letňany a Kbely)</w:t>
      </w:r>
    </w:p>
    <w:p w:rsidR="00D41063" w:rsidRPr="00D41063" w:rsidRDefault="00D41063" w:rsidP="00D41063">
      <w:pPr>
        <w:pStyle w:val="Odstavecseseznamem"/>
        <w:numPr>
          <w:ilvl w:val="0"/>
          <w:numId w:val="4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D41063">
        <w:rPr>
          <w:rFonts w:ascii="Calibri" w:hAnsi="Calibri"/>
          <w:sz w:val="24"/>
          <w:szCs w:val="24"/>
        </w:rPr>
        <w:t xml:space="preserve">Vybudovat suché poldry v </w:t>
      </w:r>
      <w:proofErr w:type="spellStart"/>
      <w:proofErr w:type="gramStart"/>
      <w:r w:rsidRPr="00D41063">
        <w:rPr>
          <w:rFonts w:ascii="Calibri" w:hAnsi="Calibri"/>
          <w:sz w:val="24"/>
          <w:szCs w:val="24"/>
        </w:rPr>
        <w:t>k.ú</w:t>
      </w:r>
      <w:proofErr w:type="spellEnd"/>
      <w:r w:rsidRPr="00D41063">
        <w:rPr>
          <w:rFonts w:ascii="Calibri" w:hAnsi="Calibri"/>
          <w:sz w:val="24"/>
          <w:szCs w:val="24"/>
        </w:rPr>
        <w:t>.</w:t>
      </w:r>
      <w:proofErr w:type="gramEnd"/>
      <w:r w:rsidRPr="00D41063">
        <w:rPr>
          <w:rFonts w:ascii="Calibri" w:hAnsi="Calibri"/>
          <w:sz w:val="24"/>
          <w:szCs w:val="24"/>
        </w:rPr>
        <w:t xml:space="preserve"> Veleň před realizací Pražského okruhu za účelem ochrany obcí Veleň, Mratín a Sluhy před záplavami</w:t>
      </w:r>
    </w:p>
    <w:p w:rsidR="00D41063" w:rsidRPr="00D41063" w:rsidRDefault="00D41063" w:rsidP="00D41063">
      <w:pPr>
        <w:pStyle w:val="Odstavecseseznamem"/>
        <w:numPr>
          <w:ilvl w:val="0"/>
          <w:numId w:val="4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D41063">
        <w:rPr>
          <w:rFonts w:ascii="Calibri" w:hAnsi="Calibri"/>
          <w:sz w:val="24"/>
          <w:szCs w:val="24"/>
        </w:rPr>
        <w:t>Důsledné a funkční odvodnění SOKP 520 i silnice II/244 takovým způsobem, aby nedocházelo k dalšímu navyšování odvodu dešťových vod do Mratínského potoka</w:t>
      </w:r>
    </w:p>
    <w:p w:rsidR="00D41063" w:rsidRPr="00D41063" w:rsidRDefault="00D41063" w:rsidP="00D41063">
      <w:pPr>
        <w:pStyle w:val="Odstavecseseznamem"/>
        <w:numPr>
          <w:ilvl w:val="0"/>
          <w:numId w:val="4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D41063">
        <w:rPr>
          <w:rFonts w:ascii="Calibri" w:hAnsi="Calibri"/>
          <w:sz w:val="24"/>
          <w:szCs w:val="24"/>
        </w:rPr>
        <w:t>Realizace protihlukových stěn a valů podél SOKP 520 a celé trasy silnice II/244 za účelem ochrany obytné zástavby v obcích</w:t>
      </w:r>
    </w:p>
    <w:p w:rsidR="00D41063" w:rsidRPr="00D41063" w:rsidRDefault="00D41063" w:rsidP="00D41063">
      <w:pPr>
        <w:pStyle w:val="Odstavecseseznamem"/>
        <w:numPr>
          <w:ilvl w:val="0"/>
          <w:numId w:val="4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D41063">
        <w:rPr>
          <w:rFonts w:ascii="Calibri" w:hAnsi="Calibri"/>
          <w:sz w:val="24"/>
          <w:szCs w:val="24"/>
        </w:rPr>
        <w:t>Kompletní zakrytí dálničního mostu v Mírovicích do protihlukového tubusu</w:t>
      </w:r>
    </w:p>
    <w:p w:rsidR="00D41063" w:rsidRPr="00D41063" w:rsidRDefault="00D41063" w:rsidP="00D41063">
      <w:pPr>
        <w:pStyle w:val="Odstavecseseznamem"/>
        <w:numPr>
          <w:ilvl w:val="0"/>
          <w:numId w:val="4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D41063">
        <w:rPr>
          <w:rFonts w:ascii="Calibri" w:hAnsi="Calibri"/>
          <w:sz w:val="24"/>
          <w:szCs w:val="24"/>
        </w:rPr>
        <w:t xml:space="preserve">Vedení dálnice SOKP 520 od přemostění v Mírovicích k MÚK Přezletice v celé délce v tunelu </w:t>
      </w:r>
    </w:p>
    <w:p w:rsidR="00D41063" w:rsidRPr="00D41063" w:rsidRDefault="00D41063" w:rsidP="00D41063">
      <w:pPr>
        <w:pStyle w:val="Odstavecseseznamem"/>
        <w:numPr>
          <w:ilvl w:val="0"/>
          <w:numId w:val="4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D41063">
        <w:rPr>
          <w:rFonts w:ascii="Calibri" w:hAnsi="Calibri"/>
          <w:sz w:val="24"/>
          <w:szCs w:val="24"/>
        </w:rPr>
        <w:t>Zpracování varianty jediné MÚK mezi obcemi Veleň a Podolanka včetně komunikace II/244 a napojení na obchvat Brandýsa nad Labem</w:t>
      </w:r>
    </w:p>
    <w:p w:rsidR="008245C8" w:rsidRDefault="008245C8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9A0E9A" w:rsidRPr="009A0E9A" w:rsidRDefault="009A0E9A" w:rsidP="009A0E9A">
      <w:pPr>
        <w:pStyle w:val="Odstavecseseznamem"/>
        <w:keepNext/>
        <w:numPr>
          <w:ilvl w:val="1"/>
          <w:numId w:val="6"/>
        </w:numPr>
        <w:spacing w:after="57" w:line="240" w:lineRule="auto"/>
        <w:jc w:val="both"/>
        <w:rPr>
          <w:b/>
          <w:sz w:val="24"/>
          <w:szCs w:val="24"/>
        </w:rPr>
      </w:pPr>
      <w:r w:rsidRPr="009A0E9A">
        <w:rPr>
          <w:b/>
          <w:sz w:val="24"/>
          <w:szCs w:val="24"/>
        </w:rPr>
        <w:lastRenderedPageBreak/>
        <w:t>Posouzení vlivů výstavby na životní prostředí a veřejné zdraví</w:t>
      </w:r>
      <w:r w:rsidRPr="009A0E9A">
        <w:rPr>
          <w:b/>
          <w:sz w:val="24"/>
          <w:szCs w:val="24"/>
        </w:rPr>
        <w:tab/>
      </w:r>
    </w:p>
    <w:p w:rsidR="009A0E9A" w:rsidRPr="009A0E9A" w:rsidRDefault="009A0E9A" w:rsidP="009A0E9A">
      <w:pPr>
        <w:pStyle w:val="Odstavecseseznamem"/>
        <w:keepNext/>
        <w:spacing w:after="57" w:line="240" w:lineRule="auto"/>
        <w:jc w:val="both"/>
        <w:rPr>
          <w:b/>
          <w:sz w:val="24"/>
          <w:szCs w:val="24"/>
        </w:rPr>
      </w:pPr>
      <w:r w:rsidRPr="009A0E9A">
        <w:rPr>
          <w:sz w:val="24"/>
          <w:szCs w:val="24"/>
        </w:rPr>
        <w:t xml:space="preserve">Stavební práce budou probíhat několik let a budou mít evidentně negativní dopady na okolní přírodu a zástavbu. </w:t>
      </w:r>
      <w:r>
        <w:rPr>
          <w:sz w:val="24"/>
          <w:szCs w:val="24"/>
        </w:rPr>
        <w:t xml:space="preserve">Požadujeme </w:t>
      </w:r>
      <w:r w:rsidRPr="009A0E9A">
        <w:rPr>
          <w:b/>
          <w:sz w:val="24"/>
          <w:szCs w:val="24"/>
        </w:rPr>
        <w:t>důkladné posouzení vlivů stavebních prací na veřejné zdraví, přírodu a krajinu.</w:t>
      </w:r>
    </w:p>
    <w:p w:rsidR="009A0E9A" w:rsidRPr="009A0E9A" w:rsidRDefault="009A0E9A" w:rsidP="009A0E9A">
      <w:pPr>
        <w:pStyle w:val="Odstavecseseznamem"/>
        <w:rPr>
          <w:b/>
          <w:sz w:val="24"/>
          <w:szCs w:val="24"/>
        </w:rPr>
      </w:pPr>
    </w:p>
    <w:p w:rsidR="008245C8" w:rsidRDefault="00F06ED0">
      <w:pPr>
        <w:pStyle w:val="Odstavecseseznamem"/>
        <w:keepNext/>
        <w:numPr>
          <w:ilvl w:val="1"/>
          <w:numId w:val="6"/>
        </w:numPr>
        <w:spacing w:after="57" w:line="240" w:lineRule="auto"/>
        <w:ind w:left="714" w:hanging="35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Dopravně – inženýrské podklady</w:t>
      </w:r>
    </w:p>
    <w:p w:rsidR="008245C8" w:rsidRDefault="00F06ED0">
      <w:pPr>
        <w:pStyle w:val="Odstavecseseznamem"/>
        <w:keepNext/>
        <w:numPr>
          <w:ilvl w:val="0"/>
          <w:numId w:val="3"/>
        </w:numPr>
        <w:spacing w:after="57" w:line="240" w:lineRule="auto"/>
        <w:ind w:left="714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Zveřejnit kartogramy dopravních intenzit pro celou pražskou metropolitní oblast</w:t>
      </w:r>
      <w:r>
        <w:rPr>
          <w:sz w:val="24"/>
          <w:szCs w:val="24"/>
        </w:rPr>
        <w:t xml:space="preserve">. </w:t>
      </w:r>
    </w:p>
    <w:p w:rsidR="00B16AEF" w:rsidRPr="00B16AEF" w:rsidRDefault="00B16AEF">
      <w:pPr>
        <w:pStyle w:val="Odstavecseseznamem"/>
        <w:numPr>
          <w:ilvl w:val="0"/>
          <w:numId w:val="4"/>
        </w:numPr>
        <w:spacing w:after="57" w:line="240" w:lineRule="auto"/>
        <w:jc w:val="both"/>
        <w:rPr>
          <w:rFonts w:ascii="Calibri" w:hAnsi="Calibri"/>
        </w:rPr>
      </w:pPr>
      <w:r>
        <w:rPr>
          <w:rFonts w:ascii="Calibri" w:hAnsi="Calibri"/>
          <w:b/>
          <w:sz w:val="24"/>
          <w:szCs w:val="24"/>
        </w:rPr>
        <w:t xml:space="preserve">Zahrnout do kartogramů intenzit i alternativy SOKP </w:t>
      </w:r>
      <w:r>
        <w:rPr>
          <w:rFonts w:ascii="Calibri" w:hAnsi="Calibri"/>
          <w:sz w:val="24"/>
          <w:szCs w:val="24"/>
        </w:rPr>
        <w:t>(regionální varianta, aglomerační okruh, propojky dálnic v krajích)</w:t>
      </w:r>
      <w:r>
        <w:rPr>
          <w:rFonts w:ascii="Calibri" w:hAnsi="Calibri"/>
          <w:b/>
          <w:sz w:val="24"/>
          <w:szCs w:val="24"/>
        </w:rPr>
        <w:t xml:space="preserve"> a přivaděčů </w:t>
      </w:r>
      <w:r w:rsidRPr="00E618A2">
        <w:rPr>
          <w:rFonts w:ascii="Calibri" w:hAnsi="Calibri"/>
          <w:sz w:val="24"/>
          <w:szCs w:val="24"/>
        </w:rPr>
        <w:t xml:space="preserve">(II/244 z Kostelce a Brandýsa </w:t>
      </w:r>
      <w:proofErr w:type="spellStart"/>
      <w:proofErr w:type="gramStart"/>
      <w:r w:rsidRPr="00E618A2">
        <w:rPr>
          <w:rFonts w:ascii="Calibri" w:hAnsi="Calibri"/>
          <w:sz w:val="24"/>
          <w:szCs w:val="24"/>
        </w:rPr>
        <w:t>n.L.</w:t>
      </w:r>
      <w:proofErr w:type="spellEnd"/>
      <w:proofErr w:type="gramEnd"/>
      <w:r w:rsidRPr="00E618A2">
        <w:rPr>
          <w:rFonts w:ascii="Calibri" w:hAnsi="Calibri"/>
          <w:sz w:val="24"/>
          <w:szCs w:val="24"/>
        </w:rPr>
        <w:t xml:space="preserve"> směr Letňany, Čakovice, Kbely; dále varianty bez Čimick</w:t>
      </w:r>
      <w:r w:rsidRPr="00422D81">
        <w:rPr>
          <w:rFonts w:ascii="Calibri" w:hAnsi="Calibri"/>
          <w:sz w:val="24"/>
          <w:szCs w:val="24"/>
        </w:rPr>
        <w:t xml:space="preserve">ého přivaděče, </w:t>
      </w:r>
      <w:r>
        <w:rPr>
          <w:rFonts w:ascii="Calibri" w:hAnsi="Calibri"/>
          <w:sz w:val="24"/>
          <w:szCs w:val="24"/>
        </w:rPr>
        <w:t>bez přivaděče Rybářka</w:t>
      </w:r>
      <w:r w:rsidRPr="00422D81">
        <w:rPr>
          <w:rFonts w:ascii="Calibri" w:hAnsi="Calibri"/>
          <w:sz w:val="24"/>
          <w:szCs w:val="24"/>
        </w:rPr>
        <w:t>)</w:t>
      </w:r>
    </w:p>
    <w:p w:rsidR="008245C8" w:rsidRDefault="00F06ED0">
      <w:pPr>
        <w:pStyle w:val="Odstavecseseznamem"/>
        <w:numPr>
          <w:ilvl w:val="0"/>
          <w:numId w:val="4"/>
        </w:numPr>
        <w:spacing w:after="57" w:line="240" w:lineRule="auto"/>
        <w:jc w:val="both"/>
        <w:rPr>
          <w:rFonts w:ascii="Calibri" w:hAnsi="Calibri"/>
        </w:rPr>
      </w:pPr>
      <w:r>
        <w:rPr>
          <w:b/>
          <w:sz w:val="24"/>
          <w:szCs w:val="24"/>
        </w:rPr>
        <w:t>Vstup pro modelové výpočty exhalací a hluku brát z kapacity komunikací</w:t>
      </w:r>
      <w:r>
        <w:rPr>
          <w:sz w:val="24"/>
          <w:szCs w:val="24"/>
        </w:rPr>
        <w:t xml:space="preserve"> </w:t>
      </w:r>
    </w:p>
    <w:p w:rsidR="008245C8" w:rsidRDefault="00F06ED0">
      <w:pPr>
        <w:pStyle w:val="Odstavecseseznamem"/>
        <w:numPr>
          <w:ilvl w:val="0"/>
          <w:numId w:val="4"/>
        </w:num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všech stavů a variant uvést </w:t>
      </w:r>
      <w:r>
        <w:rPr>
          <w:b/>
          <w:sz w:val="24"/>
          <w:szCs w:val="24"/>
        </w:rPr>
        <w:t>složení dopravy podle zdroje a cíle</w:t>
      </w:r>
      <w:r>
        <w:rPr>
          <w:sz w:val="24"/>
          <w:szCs w:val="24"/>
        </w:rPr>
        <w:t>: tj. podíl tranzitní, zdrojové a cílové (vnější) a vnitřní dopravy</w:t>
      </w:r>
    </w:p>
    <w:p w:rsidR="008245C8" w:rsidRPr="009A0E9A" w:rsidRDefault="0008599A">
      <w:pPr>
        <w:pStyle w:val="Odstavecseseznamem"/>
        <w:numPr>
          <w:ilvl w:val="0"/>
          <w:numId w:val="4"/>
        </w:numPr>
        <w:spacing w:after="57" w:line="240" w:lineRule="auto"/>
        <w:jc w:val="both"/>
        <w:rPr>
          <w:sz w:val="24"/>
          <w:szCs w:val="24"/>
        </w:rPr>
      </w:pPr>
      <w:r w:rsidRPr="00233EEE">
        <w:rPr>
          <w:rFonts w:ascii="Calibri" w:hAnsi="Calibri"/>
          <w:b/>
          <w:sz w:val="24"/>
          <w:szCs w:val="24"/>
        </w:rPr>
        <w:t>Zohlednit dopravní indukci</w:t>
      </w:r>
      <w:r w:rsidRPr="00233EEE">
        <w:rPr>
          <w:rFonts w:ascii="Calibri" w:hAnsi="Calibri"/>
          <w:sz w:val="24"/>
          <w:szCs w:val="24"/>
        </w:rPr>
        <w:t xml:space="preserve"> nejen na nových, ale i </w:t>
      </w:r>
      <w:r w:rsidRPr="00233EEE">
        <w:rPr>
          <w:rFonts w:ascii="Calibri" w:hAnsi="Calibri"/>
          <w:b/>
          <w:sz w:val="24"/>
          <w:szCs w:val="24"/>
        </w:rPr>
        <w:t xml:space="preserve">na stávajících komunikacích: </w:t>
      </w:r>
      <w:r w:rsidRPr="00233EEE">
        <w:rPr>
          <w:rFonts w:ascii="Calibri" w:hAnsi="Calibri"/>
          <w:sz w:val="24"/>
          <w:szCs w:val="24"/>
        </w:rPr>
        <w:t xml:space="preserve">dle dopravně inženýrských podkladů SOKP </w:t>
      </w:r>
      <w:r>
        <w:rPr>
          <w:rFonts w:ascii="Calibri" w:hAnsi="Calibri"/>
          <w:sz w:val="24"/>
          <w:szCs w:val="24"/>
        </w:rPr>
        <w:t xml:space="preserve">520 bude indukovat 1/3 nové dopravy a </w:t>
      </w:r>
      <w:r w:rsidRPr="00233EEE">
        <w:rPr>
          <w:rFonts w:ascii="Calibri" w:hAnsi="Calibri"/>
          <w:sz w:val="24"/>
          <w:szCs w:val="24"/>
        </w:rPr>
        <w:t xml:space="preserve">518 a 519 </w:t>
      </w:r>
      <w:r>
        <w:rPr>
          <w:rFonts w:ascii="Calibri" w:hAnsi="Calibri"/>
          <w:sz w:val="24"/>
          <w:szCs w:val="24"/>
        </w:rPr>
        <w:t>dokonce 2/3</w:t>
      </w:r>
      <w:r w:rsidRPr="00233EEE">
        <w:rPr>
          <w:rFonts w:ascii="Calibri" w:hAnsi="Calibri"/>
          <w:sz w:val="24"/>
          <w:szCs w:val="24"/>
        </w:rPr>
        <w:t xml:space="preserve">. </w:t>
      </w:r>
      <w:r w:rsidR="00F06ED0" w:rsidRPr="009A0E9A">
        <w:rPr>
          <w:sz w:val="24"/>
          <w:szCs w:val="24"/>
        </w:rPr>
        <w:t xml:space="preserve">Ve zveřejněných kartogramech však zřejmě nebyla zohledněna dopravní indukce na stávajících komunikacích. Přitom matematické modely a zkušenosti z praxe potvrzují, že „uvolněné“ komunikace se zase brzy zaplní (např. Barrandovský most po zprovoznění jižní části vnějšího okruhu). </w:t>
      </w:r>
    </w:p>
    <w:p w:rsidR="008245C8" w:rsidRPr="009A0E9A" w:rsidRDefault="00F06ED0">
      <w:pPr>
        <w:pStyle w:val="Odstavecseseznamem"/>
        <w:numPr>
          <w:ilvl w:val="0"/>
          <w:numId w:val="4"/>
        </w:numPr>
        <w:spacing w:after="57" w:line="240" w:lineRule="auto"/>
        <w:jc w:val="both"/>
        <w:rPr>
          <w:sz w:val="24"/>
          <w:szCs w:val="24"/>
        </w:rPr>
      </w:pPr>
      <w:r w:rsidRPr="009A0E9A">
        <w:rPr>
          <w:b/>
          <w:sz w:val="24"/>
          <w:szCs w:val="24"/>
        </w:rPr>
        <w:t xml:space="preserve">Zahrnout do dopravně-inženýrských podkladů i </w:t>
      </w:r>
      <w:r w:rsidR="00637FC1" w:rsidRPr="009A0E9A">
        <w:rPr>
          <w:b/>
          <w:sz w:val="24"/>
          <w:szCs w:val="24"/>
        </w:rPr>
        <w:t xml:space="preserve">propojení Prahy 6 a Prahy 8 </w:t>
      </w:r>
      <w:r w:rsidR="00637FC1" w:rsidRPr="009A0E9A">
        <w:rPr>
          <w:sz w:val="24"/>
          <w:szCs w:val="24"/>
        </w:rPr>
        <w:t xml:space="preserve">v těchto alternativách: 1) </w:t>
      </w:r>
      <w:r w:rsidRPr="009A0E9A">
        <w:rPr>
          <w:sz w:val="24"/>
          <w:szCs w:val="24"/>
        </w:rPr>
        <w:t>TT Podbaba – Bohnice – Kobylisy</w:t>
      </w:r>
      <w:r w:rsidR="00DC6A0E">
        <w:rPr>
          <w:sz w:val="24"/>
          <w:szCs w:val="24"/>
        </w:rPr>
        <w:t xml:space="preserve"> s cyklostezkou</w:t>
      </w:r>
      <w:r w:rsidR="00637FC1" w:rsidRPr="009A0E9A">
        <w:rPr>
          <w:sz w:val="24"/>
          <w:szCs w:val="24"/>
        </w:rPr>
        <w:t xml:space="preserve"> 2) městská komunikace (nízký most) pro MHD</w:t>
      </w:r>
      <w:r w:rsidR="00DC6A0E">
        <w:rPr>
          <w:sz w:val="24"/>
          <w:szCs w:val="24"/>
        </w:rPr>
        <w:t>, auta, cykl</w:t>
      </w:r>
      <w:r w:rsidR="00D41063">
        <w:rPr>
          <w:sz w:val="24"/>
          <w:szCs w:val="24"/>
        </w:rPr>
        <w:t>isty</w:t>
      </w:r>
      <w:r w:rsidR="00DC6A0E">
        <w:rPr>
          <w:sz w:val="24"/>
          <w:szCs w:val="24"/>
        </w:rPr>
        <w:t xml:space="preserve"> a </w:t>
      </w:r>
      <w:r w:rsidR="00D41063">
        <w:rPr>
          <w:sz w:val="24"/>
          <w:szCs w:val="24"/>
        </w:rPr>
        <w:t>chodce.</w:t>
      </w:r>
    </w:p>
    <w:p w:rsidR="008245C8" w:rsidRDefault="008245C8">
      <w:pPr>
        <w:pStyle w:val="Odstavecseseznamem"/>
        <w:spacing w:after="57" w:line="240" w:lineRule="auto"/>
        <w:ind w:left="1440"/>
        <w:jc w:val="both"/>
        <w:rPr>
          <w:rFonts w:ascii="Calibri" w:hAnsi="Calibri"/>
          <w:sz w:val="24"/>
          <w:szCs w:val="24"/>
        </w:rPr>
      </w:pPr>
    </w:p>
    <w:p w:rsidR="008245C8" w:rsidRPr="009A0E9A" w:rsidRDefault="00F06ED0">
      <w:pPr>
        <w:pStyle w:val="Odstavecseseznamem"/>
        <w:numPr>
          <w:ilvl w:val="1"/>
          <w:numId w:val="6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 w:rsidRPr="009A0E9A">
        <w:rPr>
          <w:b/>
          <w:sz w:val="24"/>
          <w:szCs w:val="24"/>
        </w:rPr>
        <w:t>Posouzení kumulativních a synergických vlivů</w:t>
      </w:r>
    </w:p>
    <w:p w:rsidR="008245C8" w:rsidRDefault="00DC6A0E">
      <w:pPr>
        <w:spacing w:after="57" w:line="240" w:lineRule="auto"/>
        <w:jc w:val="both"/>
        <w:rPr>
          <w:sz w:val="24"/>
          <w:szCs w:val="24"/>
        </w:rPr>
      </w:pPr>
      <w:r w:rsidRPr="0020048C">
        <w:rPr>
          <w:rFonts w:ascii="Calibri" w:hAnsi="Calibri"/>
          <w:sz w:val="24"/>
          <w:szCs w:val="24"/>
        </w:rPr>
        <w:t>Měst</w:t>
      </w:r>
      <w:r>
        <w:rPr>
          <w:rFonts w:ascii="Calibri" w:hAnsi="Calibri"/>
          <w:sz w:val="24"/>
          <w:szCs w:val="24"/>
        </w:rPr>
        <w:t xml:space="preserve">ské části a obce podél SOKP 520 </w:t>
      </w:r>
      <w:r w:rsidRPr="0020048C">
        <w:rPr>
          <w:rFonts w:ascii="Calibri" w:hAnsi="Calibri"/>
          <w:sz w:val="24"/>
          <w:szCs w:val="24"/>
        </w:rPr>
        <w:t>jsou již nyní vystaveny negativním účinkům letecké dopravy</w:t>
      </w:r>
      <w:r>
        <w:rPr>
          <w:rFonts w:ascii="Calibri" w:hAnsi="Calibri"/>
          <w:sz w:val="24"/>
          <w:szCs w:val="24"/>
        </w:rPr>
        <w:t xml:space="preserve"> </w:t>
      </w:r>
      <w:r w:rsidR="007E2884">
        <w:rPr>
          <w:rFonts w:ascii="Calibri" w:hAnsi="Calibri"/>
          <w:sz w:val="24"/>
          <w:szCs w:val="24"/>
        </w:rPr>
        <w:t xml:space="preserve">(Letiště Václava Havla, Kbely, Letňany) </w:t>
      </w:r>
      <w:r>
        <w:rPr>
          <w:rFonts w:ascii="Calibri" w:hAnsi="Calibri"/>
          <w:sz w:val="24"/>
          <w:szCs w:val="24"/>
        </w:rPr>
        <w:t xml:space="preserve">a stávajících komunikací (D8, Cínovecká, D10, Novopacká, SOKP 510 a místní komunikace II. třídy). </w:t>
      </w:r>
      <w:r w:rsidR="00F06ED0">
        <w:rPr>
          <w:sz w:val="24"/>
          <w:szCs w:val="24"/>
        </w:rPr>
        <w:t>Realizace velkokapacitní komunikace na jejich území by představovala další obrovskou zátěž pro místní obyvatele. Navíc je v plánu projekt paralelní dráhy</w:t>
      </w:r>
      <w:r>
        <w:rPr>
          <w:sz w:val="24"/>
          <w:szCs w:val="24"/>
        </w:rPr>
        <w:t xml:space="preserve">, který by vedl k dalšímu zhoršení hlukové a imisní situace. </w:t>
      </w:r>
      <w:r w:rsidR="00F06ED0">
        <w:rPr>
          <w:sz w:val="24"/>
          <w:szCs w:val="24"/>
        </w:rPr>
        <w:t>Požaduj</w:t>
      </w:r>
      <w:r w:rsidR="00AA4A35">
        <w:rPr>
          <w:sz w:val="24"/>
          <w:szCs w:val="24"/>
        </w:rPr>
        <w:t>i</w:t>
      </w:r>
      <w:r w:rsidR="00F06ED0">
        <w:rPr>
          <w:sz w:val="24"/>
          <w:szCs w:val="24"/>
        </w:rPr>
        <w:t xml:space="preserve"> důkladné posouzení kumulativních vlivů silniční a letecké dopravy.</w:t>
      </w:r>
    </w:p>
    <w:p w:rsidR="003240DF" w:rsidRDefault="003240DF">
      <w:pPr>
        <w:spacing w:after="57" w:line="240" w:lineRule="auto"/>
        <w:jc w:val="both"/>
        <w:rPr>
          <w:sz w:val="24"/>
          <w:szCs w:val="24"/>
        </w:rPr>
      </w:pPr>
    </w:p>
    <w:p w:rsidR="00454C09" w:rsidRPr="00454C09" w:rsidRDefault="00454C09" w:rsidP="00454C09">
      <w:pPr>
        <w:pStyle w:val="Odstavecseseznamem"/>
        <w:numPr>
          <w:ilvl w:val="1"/>
          <w:numId w:val="6"/>
        </w:numPr>
        <w:spacing w:after="57" w:line="240" w:lineRule="auto"/>
        <w:jc w:val="both"/>
        <w:rPr>
          <w:b/>
          <w:sz w:val="24"/>
          <w:szCs w:val="24"/>
        </w:rPr>
      </w:pPr>
      <w:r w:rsidRPr="00454C09">
        <w:rPr>
          <w:b/>
          <w:sz w:val="24"/>
          <w:szCs w:val="24"/>
        </w:rPr>
        <w:t xml:space="preserve">Posouzení vlivů výstavby a provozu SOKP </w:t>
      </w:r>
      <w:r w:rsidR="00E87130">
        <w:rPr>
          <w:b/>
          <w:sz w:val="24"/>
          <w:szCs w:val="24"/>
        </w:rPr>
        <w:t>520</w:t>
      </w:r>
      <w:r w:rsidRPr="00454C09">
        <w:rPr>
          <w:b/>
          <w:sz w:val="24"/>
          <w:szCs w:val="24"/>
        </w:rPr>
        <w:t xml:space="preserve"> na klimatické změny </w:t>
      </w:r>
    </w:p>
    <w:p w:rsidR="00454C09" w:rsidRPr="007E2884" w:rsidRDefault="00454C09" w:rsidP="007E2884">
      <w:pPr>
        <w:spacing w:after="57" w:line="240" w:lineRule="auto"/>
        <w:jc w:val="both"/>
        <w:rPr>
          <w:sz w:val="24"/>
          <w:szCs w:val="24"/>
        </w:rPr>
      </w:pPr>
      <w:r w:rsidRPr="007E2884">
        <w:rPr>
          <w:sz w:val="24"/>
          <w:szCs w:val="24"/>
        </w:rPr>
        <w:t>V říjnu 2018 mezinárodní panel OSN pro změnu klimatu zveřejnil zprávu, kde vědci varují před katastrofálními následky globálního oteplování.  Realizace šestiproudé dálnice by vedla k obrovskému nárůstu skleníkových plynů jak v rámci výstavby tak provozu mj. v důsledku výrazné</w:t>
      </w:r>
      <w:r w:rsidR="008C27D2" w:rsidRPr="007E2884">
        <w:rPr>
          <w:sz w:val="24"/>
          <w:szCs w:val="24"/>
        </w:rPr>
        <w:t>ho</w:t>
      </w:r>
      <w:r w:rsidRPr="007E2884">
        <w:rPr>
          <w:sz w:val="24"/>
          <w:szCs w:val="24"/>
        </w:rPr>
        <w:t xml:space="preserve"> nárůstu dopravních výkonů v pražské aglomeraci. V době, kdy Česká republika čelí stále delším obdobím sucha, úbytku lesů a ztrátě biodiverzity, se takto radikální zásah do krajiny a přírody jeví jako naprosto nežádoucí. Požaduji důkladné posouzení vlivů záměru z hlediska emisí skleníkových plynů, na povrchové a podzemní vody, půdu, lesy a biologickou rozmanitost.</w:t>
      </w:r>
    </w:p>
    <w:p w:rsidR="003240DF" w:rsidRDefault="003240DF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8245C8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Pr="00924499" w:rsidRDefault="00F06ED0">
      <w:pPr>
        <w:spacing w:after="57" w:line="240" w:lineRule="auto"/>
        <w:jc w:val="both"/>
        <w:rPr>
          <w:sz w:val="24"/>
          <w:szCs w:val="24"/>
          <w:highlight w:val="yellow"/>
        </w:rPr>
      </w:pPr>
      <w:r w:rsidRPr="00924499">
        <w:rPr>
          <w:sz w:val="24"/>
          <w:szCs w:val="24"/>
          <w:highlight w:val="yellow"/>
        </w:rPr>
        <w:t>V Praze dne…</w:t>
      </w:r>
    </w:p>
    <w:p w:rsidR="00DA2F7D" w:rsidRPr="00924499" w:rsidRDefault="00DA2F7D">
      <w:pPr>
        <w:spacing w:after="57" w:line="240" w:lineRule="auto"/>
        <w:jc w:val="both"/>
        <w:rPr>
          <w:rFonts w:ascii="Calibri" w:hAnsi="Calibri"/>
          <w:sz w:val="24"/>
          <w:szCs w:val="24"/>
          <w:highlight w:val="yellow"/>
        </w:rPr>
      </w:pPr>
    </w:p>
    <w:p w:rsidR="008245C8" w:rsidRDefault="00F06ED0">
      <w:pPr>
        <w:spacing w:after="57" w:line="240" w:lineRule="auto"/>
      </w:pPr>
      <w:r w:rsidRPr="00924499">
        <w:rPr>
          <w:sz w:val="24"/>
          <w:szCs w:val="24"/>
          <w:highlight w:val="yellow"/>
        </w:rPr>
        <w:t>Jméno a příjmení</w:t>
      </w:r>
      <w:r w:rsidRPr="00924499">
        <w:rPr>
          <w:sz w:val="24"/>
          <w:szCs w:val="24"/>
          <w:highlight w:val="yellow"/>
        </w:rPr>
        <w:br/>
        <w:t>Adresa trvalého bydliště</w:t>
      </w:r>
      <w:r>
        <w:rPr>
          <w:sz w:val="24"/>
          <w:szCs w:val="24"/>
        </w:rPr>
        <w:br/>
      </w:r>
    </w:p>
    <w:sectPr w:rsidR="008245C8">
      <w:pgSz w:w="11906" w:h="16838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294B"/>
    <w:multiLevelType w:val="hybridMultilevel"/>
    <w:tmpl w:val="DDD00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74448"/>
    <w:multiLevelType w:val="multilevel"/>
    <w:tmpl w:val="9F563C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73F451A"/>
    <w:multiLevelType w:val="multilevel"/>
    <w:tmpl w:val="90BAB702"/>
    <w:lvl w:ilvl="0">
      <w:start w:val="2"/>
      <w:numFmt w:val="decimal"/>
      <w:lvlText w:val="%1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4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sz w:val="24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/>
        <w:u w:val="single"/>
      </w:rPr>
    </w:lvl>
  </w:abstractNum>
  <w:abstractNum w:abstractNumId="3">
    <w:nsid w:val="325F23F7"/>
    <w:multiLevelType w:val="multilevel"/>
    <w:tmpl w:val="E45430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7EA51FE"/>
    <w:multiLevelType w:val="multilevel"/>
    <w:tmpl w:val="8B141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3D63A4A"/>
    <w:multiLevelType w:val="multilevel"/>
    <w:tmpl w:val="EAFC7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4677496"/>
    <w:multiLevelType w:val="multilevel"/>
    <w:tmpl w:val="C764D5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6AA5E86"/>
    <w:multiLevelType w:val="multilevel"/>
    <w:tmpl w:val="1D521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EA03DAA"/>
    <w:multiLevelType w:val="multilevel"/>
    <w:tmpl w:val="E9C85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906D1"/>
    <w:multiLevelType w:val="multilevel"/>
    <w:tmpl w:val="5A468756"/>
    <w:lvl w:ilvl="0">
      <w:start w:val="2"/>
      <w:numFmt w:val="decimal"/>
      <w:lvlText w:val="%1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4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sz w:val="24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/>
        <w:u w:val="single"/>
      </w:rPr>
    </w:lvl>
  </w:abstractNum>
  <w:abstractNum w:abstractNumId="10">
    <w:nsid w:val="7CD9580C"/>
    <w:multiLevelType w:val="multilevel"/>
    <w:tmpl w:val="F78A0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FA12B05"/>
    <w:multiLevelType w:val="multilevel"/>
    <w:tmpl w:val="0F907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11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5C8"/>
    <w:rsid w:val="0008599A"/>
    <w:rsid w:val="000B5236"/>
    <w:rsid w:val="00220101"/>
    <w:rsid w:val="002F0052"/>
    <w:rsid w:val="003240DF"/>
    <w:rsid w:val="003862C3"/>
    <w:rsid w:val="00423AAA"/>
    <w:rsid w:val="00454C09"/>
    <w:rsid w:val="00461601"/>
    <w:rsid w:val="004B33CD"/>
    <w:rsid w:val="005B31D4"/>
    <w:rsid w:val="00637FC1"/>
    <w:rsid w:val="006A26D0"/>
    <w:rsid w:val="006A2E2F"/>
    <w:rsid w:val="0077613B"/>
    <w:rsid w:val="007B73ED"/>
    <w:rsid w:val="007E2884"/>
    <w:rsid w:val="008245C8"/>
    <w:rsid w:val="008541F6"/>
    <w:rsid w:val="00893A0F"/>
    <w:rsid w:val="008C27D2"/>
    <w:rsid w:val="00924499"/>
    <w:rsid w:val="00994D79"/>
    <w:rsid w:val="009A0E9A"/>
    <w:rsid w:val="009F22EE"/>
    <w:rsid w:val="00A060EA"/>
    <w:rsid w:val="00A51AFD"/>
    <w:rsid w:val="00A567CE"/>
    <w:rsid w:val="00A73658"/>
    <w:rsid w:val="00AA4A35"/>
    <w:rsid w:val="00B16AEF"/>
    <w:rsid w:val="00B51924"/>
    <w:rsid w:val="00B74996"/>
    <w:rsid w:val="00CD607B"/>
    <w:rsid w:val="00CF092D"/>
    <w:rsid w:val="00D40ED4"/>
    <w:rsid w:val="00D41063"/>
    <w:rsid w:val="00DA2F7D"/>
    <w:rsid w:val="00DB6004"/>
    <w:rsid w:val="00DC6A0E"/>
    <w:rsid w:val="00E618A2"/>
    <w:rsid w:val="00E65557"/>
    <w:rsid w:val="00E83FD3"/>
    <w:rsid w:val="00E87130"/>
    <w:rsid w:val="00E959AC"/>
    <w:rsid w:val="00F06ED0"/>
    <w:rsid w:val="00F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A36E2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B70CA9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D4C3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02238"/>
  </w:style>
  <w:style w:type="character" w:customStyle="1" w:styleId="ZpatChar">
    <w:name w:val="Zápatí Char"/>
    <w:basedOn w:val="Standardnpsmoodstavce"/>
    <w:link w:val="Zpat"/>
    <w:uiPriority w:val="99"/>
    <w:qFormat/>
    <w:rsid w:val="00702238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4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ascii="Arial" w:hAnsi="Arial" w:cs="Mangal"/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Mangal"/>
      <w:sz w:val="24"/>
    </w:rPr>
  </w:style>
  <w:style w:type="paragraph" w:styleId="Odstavecseseznamem">
    <w:name w:val="List Paragraph"/>
    <w:basedOn w:val="Normln"/>
    <w:uiPriority w:val="34"/>
    <w:qFormat/>
    <w:rsid w:val="00D31BE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F833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D4C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454C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A36E2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B70CA9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D4C3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02238"/>
  </w:style>
  <w:style w:type="character" w:customStyle="1" w:styleId="ZpatChar">
    <w:name w:val="Zápatí Char"/>
    <w:basedOn w:val="Standardnpsmoodstavce"/>
    <w:link w:val="Zpat"/>
    <w:uiPriority w:val="99"/>
    <w:qFormat/>
    <w:rsid w:val="00702238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4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ascii="Arial" w:hAnsi="Arial" w:cs="Mangal"/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Mangal"/>
      <w:sz w:val="24"/>
    </w:rPr>
  </w:style>
  <w:style w:type="paragraph" w:styleId="Odstavecseseznamem">
    <w:name w:val="List Paragraph"/>
    <w:basedOn w:val="Normln"/>
    <w:uiPriority w:val="34"/>
    <w:qFormat/>
    <w:rsid w:val="00D31BE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F833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D4C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454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9329-AD64-46FE-B362-D86B46DD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1748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Veřejnost</dc:creator>
  <cp:lastModifiedBy>Marek Lněnička</cp:lastModifiedBy>
  <cp:revision>22</cp:revision>
  <dcterms:created xsi:type="dcterms:W3CDTF">2020-11-15T13:21:00Z</dcterms:created>
  <dcterms:modified xsi:type="dcterms:W3CDTF">2020-11-21T22:54:00Z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