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25" w:rsidRDefault="00400225" w:rsidP="003B45D7">
      <w:pPr>
        <w:spacing w:after="57" w:line="240" w:lineRule="auto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 xml:space="preserve">Připomínky k Aktualizaci č. 5 </w:t>
      </w:r>
      <w:r w:rsidRPr="00400225">
        <w:rPr>
          <w:rFonts w:ascii="Calibri" w:hAnsi="Calibri"/>
          <w:b/>
          <w:sz w:val="30"/>
          <w:szCs w:val="30"/>
        </w:rPr>
        <w:t>Zásad územního rozvoje hlavního města Prahy</w:t>
      </w:r>
    </w:p>
    <w:p w:rsidR="00400225" w:rsidRDefault="00400225" w:rsidP="003B45D7">
      <w:pPr>
        <w:spacing w:after="57" w:line="240" w:lineRule="auto"/>
        <w:rPr>
          <w:rFonts w:ascii="Calibri" w:hAnsi="Calibri"/>
          <w:b/>
          <w:sz w:val="30"/>
          <w:szCs w:val="30"/>
        </w:rPr>
      </w:pPr>
    </w:p>
    <w:p w:rsidR="003B45D7" w:rsidRDefault="003B45D7" w:rsidP="003B45D7">
      <w:pPr>
        <w:spacing w:after="57" w:line="240" w:lineRule="auto"/>
        <w:jc w:val="both"/>
        <w:rPr>
          <w:rFonts w:ascii="Calibri" w:hAnsi="Calibri" w:cstheme="minorHAnsi"/>
          <w:sz w:val="24"/>
          <w:szCs w:val="24"/>
        </w:rPr>
      </w:pPr>
    </w:p>
    <w:p w:rsidR="00400225" w:rsidRPr="00400225" w:rsidRDefault="00400225" w:rsidP="00400225">
      <w:pPr>
        <w:spacing w:after="57" w:line="240" w:lineRule="auto"/>
        <w:rPr>
          <w:rFonts w:ascii="Calibri" w:hAnsi="Calibri" w:cstheme="minorHAnsi"/>
          <w:sz w:val="24"/>
          <w:szCs w:val="24"/>
        </w:rPr>
      </w:pPr>
      <w:r w:rsidRPr="00400225">
        <w:rPr>
          <w:rFonts w:ascii="Calibri" w:hAnsi="Calibri" w:cstheme="minorHAnsi"/>
          <w:sz w:val="24"/>
          <w:szCs w:val="24"/>
        </w:rPr>
        <w:t xml:space="preserve">Magistrát hlavního města Prahy </w:t>
      </w:r>
    </w:p>
    <w:p w:rsidR="00400225" w:rsidRPr="00400225" w:rsidRDefault="00400225" w:rsidP="00400225">
      <w:pPr>
        <w:spacing w:after="57" w:line="240" w:lineRule="auto"/>
        <w:rPr>
          <w:rFonts w:ascii="Calibri" w:hAnsi="Calibri" w:cstheme="minorHAnsi"/>
          <w:sz w:val="24"/>
          <w:szCs w:val="24"/>
        </w:rPr>
      </w:pPr>
      <w:r w:rsidRPr="00400225">
        <w:rPr>
          <w:rFonts w:ascii="Calibri" w:hAnsi="Calibri" w:cstheme="minorHAnsi"/>
          <w:sz w:val="24"/>
          <w:szCs w:val="24"/>
        </w:rPr>
        <w:t xml:space="preserve">Odbor územního rozvoje </w:t>
      </w:r>
    </w:p>
    <w:p w:rsidR="00400225" w:rsidRPr="00400225" w:rsidRDefault="00400225" w:rsidP="00400225">
      <w:pPr>
        <w:spacing w:after="57" w:line="240" w:lineRule="auto"/>
        <w:rPr>
          <w:rFonts w:ascii="Calibri" w:hAnsi="Calibri" w:cstheme="minorHAnsi"/>
          <w:sz w:val="24"/>
          <w:szCs w:val="24"/>
        </w:rPr>
      </w:pPr>
      <w:r w:rsidRPr="00400225">
        <w:rPr>
          <w:rFonts w:ascii="Calibri" w:hAnsi="Calibri" w:cstheme="minorHAnsi"/>
          <w:sz w:val="24"/>
          <w:szCs w:val="24"/>
        </w:rPr>
        <w:t xml:space="preserve">Jungmannova 35/29 </w:t>
      </w:r>
    </w:p>
    <w:p w:rsidR="003B45D7" w:rsidRDefault="00400225" w:rsidP="00400225">
      <w:pPr>
        <w:spacing w:after="57" w:line="240" w:lineRule="auto"/>
        <w:rPr>
          <w:rFonts w:ascii="Calibri" w:hAnsi="Calibri" w:cstheme="minorHAnsi"/>
          <w:sz w:val="24"/>
          <w:szCs w:val="24"/>
        </w:rPr>
      </w:pPr>
      <w:r w:rsidRPr="00400225">
        <w:rPr>
          <w:rFonts w:ascii="Calibri" w:hAnsi="Calibri" w:cstheme="minorHAnsi"/>
          <w:sz w:val="24"/>
          <w:szCs w:val="24"/>
        </w:rPr>
        <w:t>110 00 Praha 1</w:t>
      </w:r>
    </w:p>
    <w:p w:rsidR="003B45D7" w:rsidRDefault="003B45D7" w:rsidP="003B45D7">
      <w:pPr>
        <w:spacing w:after="57" w:line="240" w:lineRule="auto"/>
        <w:jc w:val="right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V Praze dne 19. 11. 2021</w:t>
      </w:r>
    </w:p>
    <w:p w:rsidR="008245C8" w:rsidRDefault="008245C8">
      <w:pPr>
        <w:spacing w:after="57" w:line="240" w:lineRule="auto"/>
        <w:jc w:val="both"/>
        <w:rPr>
          <w:rFonts w:ascii="Calibri" w:hAnsi="Calibri" w:cstheme="minorHAnsi"/>
          <w:sz w:val="24"/>
          <w:szCs w:val="24"/>
        </w:rPr>
      </w:pPr>
    </w:p>
    <w:p w:rsidR="00400225" w:rsidRPr="00636672" w:rsidRDefault="000F6BC7" w:rsidP="00400225">
      <w:pPr>
        <w:spacing w:after="57" w:line="240" w:lineRule="auto"/>
        <w:rPr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Podnět k </w:t>
      </w:r>
      <w:r w:rsidR="004E56B6">
        <w:rPr>
          <w:rFonts w:ascii="Calibri" w:hAnsi="Calibri"/>
          <w:b/>
          <w:sz w:val="28"/>
          <w:szCs w:val="28"/>
        </w:rPr>
        <w:t>revizi</w:t>
      </w:r>
      <w:r>
        <w:rPr>
          <w:rFonts w:ascii="Calibri" w:hAnsi="Calibri"/>
          <w:b/>
          <w:sz w:val="28"/>
          <w:szCs w:val="28"/>
        </w:rPr>
        <w:t xml:space="preserve"> úseků SOKP 510, 511 a 520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spacing w:after="57" w:line="240" w:lineRule="auto"/>
        <w:jc w:val="both"/>
        <w:rPr>
          <w:rFonts w:ascii="Calibri" w:hAnsi="Calibri"/>
        </w:rPr>
      </w:pPr>
      <w:r>
        <w:rPr>
          <w:sz w:val="24"/>
          <w:szCs w:val="24"/>
        </w:rPr>
        <w:t>Vyjádření je rozděleno na dvě části:</w:t>
      </w:r>
    </w:p>
    <w:p w:rsidR="00636672" w:rsidRDefault="00F06ED0" w:rsidP="00636672">
      <w:pPr>
        <w:pStyle w:val="Odstavecseseznamem"/>
        <w:numPr>
          <w:ilvl w:val="0"/>
          <w:numId w:val="1"/>
        </w:num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Nesouhlas s navrhovaným záměrem a odůvodnění.</w:t>
      </w:r>
    </w:p>
    <w:p w:rsidR="00636672" w:rsidRPr="00636672" w:rsidRDefault="00636672" w:rsidP="00636672">
      <w:pPr>
        <w:pStyle w:val="Odstavecseseznamem"/>
        <w:numPr>
          <w:ilvl w:val="0"/>
          <w:numId w:val="1"/>
        </w:numPr>
        <w:spacing w:after="57" w:line="240" w:lineRule="auto"/>
        <w:jc w:val="both"/>
        <w:rPr>
          <w:sz w:val="24"/>
          <w:szCs w:val="24"/>
        </w:rPr>
      </w:pPr>
      <w:r w:rsidRPr="00636672">
        <w:rPr>
          <w:sz w:val="24"/>
          <w:szCs w:val="24"/>
        </w:rPr>
        <w:t>Požadavky pro řešení tranzitní a městské dopravy v pražské aglomeraci</w:t>
      </w:r>
    </w:p>
    <w:p w:rsidR="008245C8" w:rsidRDefault="008245C8">
      <w:pPr>
        <w:pStyle w:val="Odstavecseseznamem"/>
        <w:spacing w:after="57" w:line="240" w:lineRule="auto"/>
        <w:ind w:left="1440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spacing w:after="57" w:line="240" w:lineRule="auto"/>
        <w:jc w:val="both"/>
        <w:rPr>
          <w:rFonts w:ascii="Calibri" w:hAnsi="Calibri"/>
        </w:rPr>
      </w:pPr>
      <w:r>
        <w:rPr>
          <w:b/>
          <w:sz w:val="28"/>
          <w:szCs w:val="28"/>
        </w:rPr>
        <w:t>1. Nesouhlas se záměrem a odůvodnění</w:t>
      </w:r>
    </w:p>
    <w:p w:rsidR="003B45D7" w:rsidRDefault="003B45D7" w:rsidP="003B45D7">
      <w:pPr>
        <w:spacing w:after="57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Nesouhlasíme s vymezením koridoru Silničního okruhu kolem Prahy v trase </w:t>
      </w:r>
      <w:r w:rsidR="000F6BC7">
        <w:rPr>
          <w:rFonts w:ascii="Calibri" w:hAnsi="Calibri"/>
          <w:b/>
          <w:sz w:val="24"/>
          <w:szCs w:val="24"/>
        </w:rPr>
        <w:t>510 (Satalice -Běchovice), 511 (Běchovice – D1) a 520 (Březiněves – Satalice) jako součást TEN-T s nákladním tranzitem.</w:t>
      </w:r>
    </w:p>
    <w:p w:rsidR="008245C8" w:rsidRDefault="008245C8">
      <w:pPr>
        <w:spacing w:after="57" w:line="240" w:lineRule="auto"/>
        <w:jc w:val="both"/>
        <w:rPr>
          <w:sz w:val="24"/>
          <w:szCs w:val="24"/>
        </w:rPr>
      </w:pPr>
    </w:p>
    <w:p w:rsidR="008245C8" w:rsidRDefault="00761ACE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N</w:t>
      </w:r>
      <w:r w:rsidR="00F06ED0">
        <w:rPr>
          <w:b/>
          <w:sz w:val="24"/>
          <w:szCs w:val="24"/>
        </w:rPr>
        <w:t>esoulad s evropskou legislativou TEN-T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Silniční okruh kolem Prahy (dále SOKP) je součástí IV. multimodálního koridoru Berlín – Istanbul transevropské dopravní sítě. K zásadám rozvoje TEN-T patří především zvýšení plynulosti </w:t>
      </w:r>
      <w:r w:rsidR="00E65557">
        <w:rPr>
          <w:sz w:val="24"/>
          <w:szCs w:val="24"/>
        </w:rPr>
        <w:br/>
      </w:r>
      <w:r>
        <w:rPr>
          <w:sz w:val="24"/>
          <w:szCs w:val="24"/>
        </w:rPr>
        <w:t>a bezpečnosti provozu, rychlé spojení velkých aglomerací, obcházení městských oblastí, oddělení městské a tranzitní dopravy.</w:t>
      </w:r>
    </w:p>
    <w:p w:rsidR="008245C8" w:rsidRDefault="00F06ED0">
      <w:pPr>
        <w:spacing w:after="57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SOKP by měl řešit tranzitní / dálkové dopravní vztahy</w:t>
      </w:r>
      <w:r>
        <w:rPr>
          <w:sz w:val="24"/>
          <w:szCs w:val="24"/>
        </w:rPr>
        <w:t xml:space="preserve">, např. Hradec Králové – Plzeň nebo Berlín – Vídeň, NIKOLIV </w:t>
      </w:r>
      <w:r w:rsidR="00CD607B">
        <w:rPr>
          <w:sz w:val="24"/>
          <w:szCs w:val="24"/>
        </w:rPr>
        <w:t>vnitroměstskou a příměstskou dopravu</w:t>
      </w:r>
      <w:r>
        <w:rPr>
          <w:sz w:val="24"/>
          <w:szCs w:val="24"/>
        </w:rPr>
        <w:t xml:space="preserve">. Pokud však na něj budou kladeny požadavky, aby zároveň sloužil potřebám městské dopravy, nebude fungovat tak, jak má. </w:t>
      </w:r>
      <w:r w:rsidR="003862C3">
        <w:rPr>
          <w:sz w:val="24"/>
          <w:szCs w:val="24"/>
        </w:rPr>
        <w:br/>
      </w:r>
      <w:r>
        <w:rPr>
          <w:sz w:val="24"/>
          <w:szCs w:val="24"/>
        </w:rPr>
        <w:t xml:space="preserve">SOKP dle ZÚR je </w:t>
      </w:r>
      <w:r>
        <w:rPr>
          <w:b/>
          <w:sz w:val="24"/>
          <w:szCs w:val="24"/>
        </w:rPr>
        <w:t>v rozporu s evropskou legislativou TEN-T</w:t>
      </w:r>
      <w:r>
        <w:rPr>
          <w:sz w:val="24"/>
          <w:szCs w:val="24"/>
        </w:rPr>
        <w:t xml:space="preserve">, neboť vede </w:t>
      </w:r>
      <w:r w:rsidR="00B70549">
        <w:rPr>
          <w:sz w:val="24"/>
          <w:szCs w:val="24"/>
        </w:rPr>
        <w:t>rezidenčními, rekreačními a přírodními lokalitami</w:t>
      </w:r>
      <w:r>
        <w:rPr>
          <w:sz w:val="24"/>
          <w:szCs w:val="24"/>
        </w:rPr>
        <w:t xml:space="preserve"> hl. města Prahy a nechrání obyvatele </w:t>
      </w:r>
      <w:r w:rsidR="00CD607B">
        <w:rPr>
          <w:sz w:val="24"/>
          <w:szCs w:val="24"/>
        </w:rPr>
        <w:t>pražské aglomerace</w:t>
      </w:r>
      <w:r>
        <w:rPr>
          <w:sz w:val="24"/>
          <w:szCs w:val="24"/>
        </w:rPr>
        <w:t xml:space="preserve"> před nepříznivými účinky tranzitní silniční dopravy (nesoulad s čl. 30, e) – nejedná se o obchvat, ale o průtah městem. Realizace dnes již dálničního průtahu by měla velmi negativní dopady na </w:t>
      </w:r>
      <w:r w:rsidR="00B70549">
        <w:rPr>
          <w:sz w:val="24"/>
          <w:szCs w:val="24"/>
        </w:rPr>
        <w:t>více než</w:t>
      </w:r>
      <w:r>
        <w:rPr>
          <w:sz w:val="24"/>
          <w:szCs w:val="24"/>
        </w:rPr>
        <w:t xml:space="preserve"> </w:t>
      </w:r>
      <w:r w:rsidR="000F6BC7">
        <w:rPr>
          <w:sz w:val="24"/>
          <w:szCs w:val="24"/>
        </w:rPr>
        <w:t>10</w:t>
      </w:r>
      <w:r>
        <w:rPr>
          <w:sz w:val="24"/>
          <w:szCs w:val="24"/>
        </w:rPr>
        <w:t xml:space="preserve">0 000 lidí na </w:t>
      </w:r>
      <w:r w:rsidR="000F6BC7">
        <w:rPr>
          <w:sz w:val="24"/>
          <w:szCs w:val="24"/>
        </w:rPr>
        <w:t>na východě</w:t>
      </w:r>
      <w:r w:rsidR="00761ACE">
        <w:rPr>
          <w:sz w:val="24"/>
          <w:szCs w:val="24"/>
        </w:rPr>
        <w:t xml:space="preserve"> a na severu</w:t>
      </w:r>
      <w:r w:rsidR="000F6BC7">
        <w:rPr>
          <w:sz w:val="24"/>
          <w:szCs w:val="24"/>
        </w:rPr>
        <w:t xml:space="preserve"> </w:t>
      </w:r>
      <w:r>
        <w:rPr>
          <w:sz w:val="24"/>
          <w:szCs w:val="24"/>
        </w:rPr>
        <w:t>Prahy.</w:t>
      </w:r>
    </w:p>
    <w:p w:rsidR="00761ACE" w:rsidRDefault="00761ACE">
      <w:pPr>
        <w:spacing w:after="57" w:line="240" w:lineRule="auto"/>
        <w:jc w:val="both"/>
        <w:rPr>
          <w:sz w:val="24"/>
          <w:szCs w:val="24"/>
        </w:rPr>
      </w:pPr>
    </w:p>
    <w:p w:rsidR="00761ACE" w:rsidRPr="00761ACE" w:rsidRDefault="00761ACE" w:rsidP="00761ACE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Nefunkční řešení v rozporu s požadavky na bezpečnost dopravy</w:t>
      </w:r>
    </w:p>
    <w:p w:rsidR="00761ACE" w:rsidRDefault="00AB2B01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bezpečnostního auditu ke zkapacitnění úseku </w:t>
      </w:r>
      <w:r w:rsidR="00BA12D4">
        <w:rPr>
          <w:sz w:val="24"/>
          <w:szCs w:val="24"/>
        </w:rPr>
        <w:t>510 (Satalice</w:t>
      </w:r>
      <w:r w:rsidR="004951D4">
        <w:rPr>
          <w:sz w:val="24"/>
          <w:szCs w:val="24"/>
        </w:rPr>
        <w:t xml:space="preserve"> - </w:t>
      </w:r>
      <w:r w:rsidR="000664ED">
        <w:rPr>
          <w:sz w:val="24"/>
          <w:szCs w:val="24"/>
        </w:rPr>
        <w:t>B</w:t>
      </w:r>
      <w:r w:rsidR="004951D4">
        <w:rPr>
          <w:sz w:val="24"/>
          <w:szCs w:val="24"/>
        </w:rPr>
        <w:t>ěchovice</w:t>
      </w:r>
      <w:r w:rsidR="00BA12D4">
        <w:rPr>
          <w:sz w:val="24"/>
          <w:szCs w:val="24"/>
        </w:rPr>
        <w:t xml:space="preserve">), který si nechalo zpracovat ŘSD, vyplývá, že </w:t>
      </w:r>
      <w:r w:rsidR="00BA12D4" w:rsidRPr="00BA12D4">
        <w:rPr>
          <w:sz w:val="24"/>
          <w:szCs w:val="24"/>
        </w:rPr>
        <w:t>po dostavbě 511 bude kapacita úseku 510 (3+3 pruhy) nedostatečná a výhledově po dostavbě 520 nebudou stačit ani 4+4 pruhy</w:t>
      </w:r>
      <w:r w:rsidR="00BA12D4">
        <w:rPr>
          <w:sz w:val="24"/>
          <w:szCs w:val="24"/>
        </w:rPr>
        <w:t>. Navíc jsou zásadním způsobem porušeny</w:t>
      </w:r>
      <w:r w:rsidR="00BA12D4" w:rsidRPr="00BA12D4">
        <w:rPr>
          <w:sz w:val="24"/>
          <w:szCs w:val="24"/>
        </w:rPr>
        <w:t xml:space="preserve"> požad</w:t>
      </w:r>
      <w:r w:rsidR="00BA12D4">
        <w:rPr>
          <w:sz w:val="24"/>
          <w:szCs w:val="24"/>
        </w:rPr>
        <w:t xml:space="preserve">avky na vzdálenosti křižovatek. Překážkou pro zkapacitnění je okolní zástavba a přírodní památky v blízkosti dálnice. Audit navrhuje </w:t>
      </w:r>
      <w:r w:rsidR="00BA12D4" w:rsidRPr="00BA12D4">
        <w:rPr>
          <w:sz w:val="24"/>
          <w:szCs w:val="24"/>
        </w:rPr>
        <w:t>uvažovat o realizaci ve vzdálenější alternativě na východ od Prahy.</w:t>
      </w:r>
    </w:p>
    <w:p w:rsidR="000664ED" w:rsidRDefault="00E135D3">
      <w:pPr>
        <w:spacing w:after="57" w:line="240" w:lineRule="auto"/>
        <w:jc w:val="both"/>
        <w:rPr>
          <w:sz w:val="24"/>
          <w:szCs w:val="24"/>
        </w:rPr>
      </w:pPr>
      <w:hyperlink r:id="rId9" w:history="1">
        <w:r w:rsidRPr="00F551F2">
          <w:rPr>
            <w:rStyle w:val="Hypertextovodkaz"/>
            <w:sz w:val="24"/>
            <w:szCs w:val="24"/>
          </w:rPr>
          <w:t>https://rozumnadoprava.cz/publikace/#510bezpecnost</w:t>
        </w:r>
      </w:hyperlink>
    </w:p>
    <w:p w:rsidR="00E135D3" w:rsidRDefault="00E135D3">
      <w:pPr>
        <w:spacing w:after="57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8245C8" w:rsidRPr="00F728C9" w:rsidRDefault="008245C8" w:rsidP="00F728C9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 w:rsidP="00C83CF4">
      <w:pPr>
        <w:pStyle w:val="Odstavecseseznamem"/>
        <w:keepNext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Zastaralá koncepce neodpovídající současné situaci a budoucímu vývoji</w:t>
      </w:r>
    </w:p>
    <w:p w:rsidR="008245C8" w:rsidRDefault="00F06ED0" w:rsidP="00C83CF4">
      <w:pPr>
        <w:keepNext/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Současný návrh SOKP dle ZÚR </w:t>
      </w:r>
      <w:r>
        <w:rPr>
          <w:b/>
          <w:sz w:val="24"/>
          <w:szCs w:val="24"/>
        </w:rPr>
        <w:t>vychází z koncepce 60. let minulého století</w:t>
      </w:r>
      <w:r>
        <w:rPr>
          <w:sz w:val="24"/>
          <w:szCs w:val="24"/>
        </w:rPr>
        <w:t xml:space="preserve">. Od té doby došlo </w:t>
      </w:r>
      <w:r w:rsidR="00E65557">
        <w:rPr>
          <w:sz w:val="24"/>
          <w:szCs w:val="24"/>
        </w:rPr>
        <w:br/>
      </w:r>
      <w:r>
        <w:rPr>
          <w:sz w:val="24"/>
          <w:szCs w:val="24"/>
        </w:rPr>
        <w:t xml:space="preserve">k významnému rozvoji města a obrovskému nárůstu dopravy v důsledku přechodu na tržní hospodářství a zapojení do evropských struktur. SOKP </w:t>
      </w:r>
      <w:r>
        <w:rPr>
          <w:b/>
          <w:sz w:val="24"/>
          <w:szCs w:val="24"/>
        </w:rPr>
        <w:t xml:space="preserve">nebere ohled na </w:t>
      </w:r>
      <w:r w:rsidR="004B33CD">
        <w:rPr>
          <w:b/>
          <w:sz w:val="24"/>
          <w:szCs w:val="24"/>
        </w:rPr>
        <w:t>aktuální kontext a budoucí rozvoj</w:t>
      </w:r>
      <w:r>
        <w:rPr>
          <w:rFonts w:cstheme="minorHAnsi"/>
        </w:rPr>
        <w:t xml:space="preserve"> </w:t>
      </w:r>
      <w:r>
        <w:rPr>
          <w:sz w:val="24"/>
          <w:szCs w:val="24"/>
        </w:rPr>
        <w:t xml:space="preserve">a zavádí na území hl.m. Prahy tranzitní, zejména kamionovou dopravu. </w:t>
      </w:r>
    </w:p>
    <w:p w:rsidR="008245C8" w:rsidRDefault="008245C8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Nevhodné umístění SOKP z hlediska demografie a územního rozvoje</w:t>
      </w:r>
    </w:p>
    <w:p w:rsidR="003862C3" w:rsidRPr="007E0867" w:rsidRDefault="00F06ED0" w:rsidP="003862C3">
      <w:pPr>
        <w:spacing w:after="57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SOKP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jako součást TEN-T s  kamionovým provozem je veden </w:t>
      </w:r>
      <w:r w:rsidR="00FD3DE5">
        <w:rPr>
          <w:b/>
          <w:sz w:val="24"/>
          <w:szCs w:val="24"/>
        </w:rPr>
        <w:t xml:space="preserve">skrz či v těsné blízkosti </w:t>
      </w:r>
      <w:r w:rsidR="000F6BC7">
        <w:rPr>
          <w:b/>
          <w:sz w:val="24"/>
          <w:szCs w:val="24"/>
        </w:rPr>
        <w:t xml:space="preserve">hustě obydlených městských částí </w:t>
      </w:r>
      <w:r w:rsidR="000F6BC7" w:rsidRPr="000664ED">
        <w:rPr>
          <w:sz w:val="24"/>
          <w:szCs w:val="24"/>
        </w:rPr>
        <w:t>(Černý Most a Horní Počernice</w:t>
      </w:r>
      <w:r w:rsidR="000F6BC7">
        <w:rPr>
          <w:b/>
          <w:sz w:val="24"/>
          <w:szCs w:val="24"/>
        </w:rPr>
        <w:t xml:space="preserve">) a </w:t>
      </w:r>
      <w:r w:rsidR="00FD3DE5">
        <w:rPr>
          <w:b/>
          <w:sz w:val="24"/>
          <w:szCs w:val="24"/>
        </w:rPr>
        <w:t>rezidenčních lokalit</w:t>
      </w:r>
      <w:r>
        <w:rPr>
          <w:b/>
          <w:sz w:val="24"/>
          <w:szCs w:val="24"/>
        </w:rPr>
        <w:t xml:space="preserve">, kde se očekává </w:t>
      </w:r>
      <w:r w:rsidR="00FD3DE5">
        <w:rPr>
          <w:b/>
          <w:sz w:val="24"/>
          <w:szCs w:val="24"/>
        </w:rPr>
        <w:t>výrazný</w:t>
      </w:r>
      <w:r>
        <w:rPr>
          <w:b/>
          <w:sz w:val="24"/>
          <w:szCs w:val="24"/>
        </w:rPr>
        <w:t xml:space="preserve"> </w:t>
      </w:r>
      <w:r w:rsidR="00FC299A">
        <w:rPr>
          <w:b/>
          <w:sz w:val="24"/>
          <w:szCs w:val="24"/>
        </w:rPr>
        <w:t xml:space="preserve">populační </w:t>
      </w:r>
      <w:r>
        <w:rPr>
          <w:b/>
          <w:sz w:val="24"/>
          <w:szCs w:val="24"/>
        </w:rPr>
        <w:t xml:space="preserve">nárůst </w:t>
      </w:r>
      <w:r w:rsidR="00FC299A">
        <w:rPr>
          <w:sz w:val="24"/>
          <w:szCs w:val="24"/>
        </w:rPr>
        <w:t>(</w:t>
      </w:r>
      <w:r w:rsidR="000B5AEC">
        <w:rPr>
          <w:sz w:val="24"/>
          <w:szCs w:val="24"/>
        </w:rPr>
        <w:t>Březiněves</w:t>
      </w:r>
      <w:r w:rsidR="007E0867">
        <w:rPr>
          <w:sz w:val="24"/>
          <w:szCs w:val="24"/>
        </w:rPr>
        <w:t>, Čakovice, Vinoř, Satalice, Dolní Počernice, Praha 22</w:t>
      </w:r>
      <w:r w:rsidR="00FC299A">
        <w:rPr>
          <w:sz w:val="24"/>
          <w:szCs w:val="24"/>
        </w:rPr>
        <w:t>).</w:t>
      </w:r>
      <w:r w:rsidR="007E0867">
        <w:rPr>
          <w:sz w:val="24"/>
          <w:szCs w:val="24"/>
        </w:rPr>
        <w:t xml:space="preserve"> </w:t>
      </w:r>
      <w:r>
        <w:rPr>
          <w:sz w:val="24"/>
          <w:szCs w:val="24"/>
        </w:rPr>
        <w:t>Trasa SOKP navíc zabírá zastavitelné plochy pro bytovou a občanskou vybavenost na území hl.</w:t>
      </w:r>
      <w:r w:rsidR="003871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Prahy. Vytváří umělou bariéru uvnitř městského organismu, která poruší vzájemné vazby a funkce stávající zástavby. Realizace SOKP </w:t>
      </w:r>
      <w:r w:rsidR="00994D79">
        <w:rPr>
          <w:sz w:val="24"/>
          <w:szCs w:val="24"/>
        </w:rPr>
        <w:t>dle ZÚR pravděpodobně povede k nežádoucí</w:t>
      </w:r>
      <w:r>
        <w:rPr>
          <w:sz w:val="24"/>
          <w:szCs w:val="24"/>
        </w:rPr>
        <w:t xml:space="preserve"> výstavbě logistických, průmyslových a komerčních objektů, což bude mít za následek další nárůst dopravní zátěže a zhoršení životního prostředí v Praze.</w:t>
      </w:r>
      <w:r>
        <w:t xml:space="preserve"> </w:t>
      </w:r>
    </w:p>
    <w:p w:rsidR="008245C8" w:rsidRDefault="008245C8">
      <w:pPr>
        <w:spacing w:after="57" w:line="240" w:lineRule="auto"/>
        <w:jc w:val="both"/>
        <w:rPr>
          <w:rStyle w:val="Internetovodkaz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Střety se životním prostředím</w:t>
      </w:r>
    </w:p>
    <w:p w:rsidR="008245C8" w:rsidRDefault="00F06ED0">
      <w:pPr>
        <w:spacing w:after="57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SOKP dle ZÚR </w:t>
      </w:r>
      <w:r>
        <w:rPr>
          <w:b/>
          <w:sz w:val="24"/>
          <w:szCs w:val="24"/>
        </w:rPr>
        <w:t xml:space="preserve">vede v těsné blízkosti či protíná několik přírodních památek </w:t>
      </w:r>
      <w:r>
        <w:rPr>
          <w:sz w:val="24"/>
          <w:szCs w:val="24"/>
        </w:rPr>
        <w:t>(</w:t>
      </w:r>
      <w:r w:rsidR="007E0867">
        <w:rPr>
          <w:rFonts w:ascii="Calibri" w:hAnsi="Calibri"/>
          <w:sz w:val="24"/>
          <w:szCs w:val="24"/>
        </w:rPr>
        <w:t>Bažantnice v Satalicích, Vinořský park, Chvalský lom, Xaverovský háj, Počernický rybník, Lítožnice).</w:t>
      </w:r>
    </w:p>
    <w:p w:rsidR="008245C8" w:rsidRDefault="008245C8">
      <w:pPr>
        <w:spacing w:after="57" w:line="240" w:lineRule="auto"/>
        <w:jc w:val="both"/>
        <w:rPr>
          <w:sz w:val="24"/>
          <w:szCs w:val="24"/>
        </w:rPr>
      </w:pPr>
    </w:p>
    <w:p w:rsidR="008245C8" w:rsidRDefault="00F06ED0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rFonts w:ascii="Calibri" w:hAnsi="Calibri"/>
          <w:b/>
        </w:rPr>
      </w:pPr>
      <w:r>
        <w:rPr>
          <w:b/>
          <w:sz w:val="24"/>
          <w:szCs w:val="24"/>
        </w:rPr>
        <w:t>Zhoršení životních podmínek v již zatížených lokalitách</w:t>
      </w:r>
    </w:p>
    <w:p w:rsidR="00C61DF6" w:rsidRDefault="003B45D7" w:rsidP="00C61DF6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3B45D7">
        <w:rPr>
          <w:sz w:val="24"/>
          <w:szCs w:val="24"/>
        </w:rPr>
        <w:t xml:space="preserve">Městské části a obce na </w:t>
      </w:r>
      <w:r w:rsidR="00BA12D4">
        <w:rPr>
          <w:sz w:val="24"/>
          <w:szCs w:val="24"/>
        </w:rPr>
        <w:t xml:space="preserve">východě </w:t>
      </w:r>
      <w:r w:rsidRPr="003B45D7">
        <w:rPr>
          <w:sz w:val="24"/>
          <w:szCs w:val="24"/>
        </w:rPr>
        <w:t>Prahy, na jejichž území má vést trasa SOKP, jsou již v současnosti s</w:t>
      </w:r>
      <w:r w:rsidR="00FD3DE5">
        <w:rPr>
          <w:sz w:val="24"/>
          <w:szCs w:val="24"/>
        </w:rPr>
        <w:t>ilně zatíženy silniční dopravou</w:t>
      </w:r>
      <w:r w:rsidRPr="003B45D7">
        <w:rPr>
          <w:sz w:val="24"/>
          <w:szCs w:val="24"/>
        </w:rPr>
        <w:t xml:space="preserve">. V případě realizace </w:t>
      </w:r>
      <w:r w:rsidR="000E0A8F">
        <w:rPr>
          <w:sz w:val="24"/>
          <w:szCs w:val="24"/>
        </w:rPr>
        <w:t xml:space="preserve">dálničního průtahu </w:t>
      </w:r>
      <w:r w:rsidR="00BA12D4">
        <w:rPr>
          <w:sz w:val="24"/>
          <w:szCs w:val="24"/>
        </w:rPr>
        <w:t xml:space="preserve">by </w:t>
      </w:r>
      <w:r w:rsidRPr="003B45D7">
        <w:rPr>
          <w:sz w:val="24"/>
          <w:szCs w:val="24"/>
        </w:rPr>
        <w:t xml:space="preserve">se situace nadále zhoršila. Není tedy žádoucí přivádět do této oblasti další dopravní zátěž. </w:t>
      </w:r>
      <w:r w:rsidR="00C61DF6">
        <w:rPr>
          <w:rFonts w:ascii="Calibri" w:hAnsi="Calibri"/>
          <w:sz w:val="24"/>
          <w:szCs w:val="24"/>
        </w:rPr>
        <w:t xml:space="preserve">Naopak je </w:t>
      </w:r>
      <w:r w:rsidR="00FD3DE5">
        <w:rPr>
          <w:rFonts w:ascii="Calibri" w:hAnsi="Calibri"/>
          <w:sz w:val="24"/>
          <w:szCs w:val="24"/>
        </w:rPr>
        <w:t xml:space="preserve">zapotřebí </w:t>
      </w:r>
      <w:r w:rsidR="00C61DF6">
        <w:rPr>
          <w:rFonts w:ascii="Calibri" w:hAnsi="Calibri"/>
          <w:sz w:val="24"/>
          <w:szCs w:val="24"/>
        </w:rPr>
        <w:t>podporovat veřejnou hromadnou a nemotorovou dopravu a budovat město krátkých vzdáleností.</w:t>
      </w:r>
    </w:p>
    <w:p w:rsidR="003B45D7" w:rsidRDefault="003B45D7">
      <w:pPr>
        <w:spacing w:after="57" w:line="240" w:lineRule="auto"/>
        <w:jc w:val="both"/>
        <w:rPr>
          <w:b/>
          <w:sz w:val="24"/>
          <w:szCs w:val="24"/>
        </w:rPr>
      </w:pPr>
    </w:p>
    <w:p w:rsidR="008245C8" w:rsidRDefault="00CF092D">
      <w:pPr>
        <w:pStyle w:val="Odstavecseseznamem"/>
        <w:numPr>
          <w:ilvl w:val="1"/>
          <w:numId w:val="5"/>
        </w:numPr>
        <w:spacing w:after="57" w:line="240" w:lineRule="auto"/>
        <w:jc w:val="both"/>
        <w:rPr>
          <w:b/>
        </w:rPr>
      </w:pPr>
      <w:r>
        <w:rPr>
          <w:b/>
          <w:sz w:val="24"/>
          <w:szCs w:val="24"/>
        </w:rPr>
        <w:t>Výrazný nárůst automobilové dopravy</w:t>
      </w:r>
      <w:r w:rsidR="002F0052">
        <w:rPr>
          <w:b/>
          <w:sz w:val="24"/>
          <w:szCs w:val="24"/>
        </w:rPr>
        <w:t xml:space="preserve"> v pražské aglomeraci</w:t>
      </w:r>
    </w:p>
    <w:p w:rsidR="003B45D7" w:rsidRDefault="003B45D7" w:rsidP="003B45D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ascii="Calibri" w:hAnsi="Calibri"/>
        </w:rPr>
        <w:t xml:space="preserve">Podle dopravně-inženýrských podkladů </w:t>
      </w:r>
      <w:r w:rsidRPr="003B45D7">
        <w:rPr>
          <w:rFonts w:ascii="Calibri" w:hAnsi="Calibri"/>
        </w:rPr>
        <w:t xml:space="preserve">realizace </w:t>
      </w:r>
      <w:r w:rsidR="007E0867">
        <w:rPr>
          <w:rFonts w:ascii="Calibri" w:hAnsi="Calibri"/>
        </w:rPr>
        <w:t>SOKP 511 a 520 a zkapacitnění 510 (a také D11)</w:t>
      </w:r>
      <w:r w:rsidRPr="003B45D7">
        <w:rPr>
          <w:rFonts w:ascii="Calibri" w:hAnsi="Calibri"/>
        </w:rPr>
        <w:t xml:space="preserve"> povede k významnému nárůstu osobní a nákladní automobilové dopravy v pražské aglomeraci.</w:t>
      </w:r>
      <w:r>
        <w:rPr>
          <w:rFonts w:ascii="Calibri" w:hAnsi="Calibri"/>
        </w:rPr>
        <w:t xml:space="preserve"> </w:t>
      </w:r>
      <w:r w:rsidR="00313A6F" w:rsidRPr="00313A6F">
        <w:rPr>
          <w:rFonts w:cstheme="minorHAnsi"/>
          <w:bCs/>
          <w:sz w:val="24"/>
          <w:szCs w:val="24"/>
        </w:rPr>
        <w:t>Jev dopravní indukce potvrzují i odborné studie a zkušenosti z praxe. Nabídka nové silniční kapacity umožní podnikat častější, delší a zbytné cesty autem, znevýhodní ekologické druhy dopravy a prohloubí problém roztříštěné zástavby v satelitech za Prahou závislých na automobilové dopravě.</w:t>
      </w:r>
    </w:p>
    <w:p w:rsidR="00313A6F" w:rsidRDefault="00313A6F" w:rsidP="003B45D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51A9E">
        <w:rPr>
          <w:rFonts w:cstheme="minorHAnsi"/>
          <w:bCs/>
          <w:i/>
          <w:sz w:val="24"/>
          <w:szCs w:val="24"/>
        </w:rPr>
        <w:t>Generated Traffic and Induced Travel</w:t>
      </w:r>
      <w:r>
        <w:rPr>
          <w:rFonts w:cstheme="minorHAnsi"/>
          <w:bCs/>
          <w:sz w:val="24"/>
          <w:szCs w:val="24"/>
        </w:rPr>
        <w:t xml:space="preserve"> </w:t>
      </w:r>
      <w:hyperlink r:id="rId10" w:history="1">
        <w:r w:rsidRPr="00BC3111">
          <w:rPr>
            <w:rStyle w:val="Hypertextovodkaz"/>
            <w:rFonts w:cstheme="minorHAnsi"/>
            <w:bCs/>
            <w:sz w:val="24"/>
            <w:szCs w:val="24"/>
          </w:rPr>
          <w:t>www.vtpi.org/gentraf.pdf</w:t>
        </w:r>
      </w:hyperlink>
    </w:p>
    <w:p w:rsidR="00313A6F" w:rsidRPr="00D92098" w:rsidRDefault="00313A6F" w:rsidP="00313A6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51A9E">
        <w:rPr>
          <w:rFonts w:cstheme="minorHAnsi"/>
          <w:bCs/>
          <w:i/>
          <w:sz w:val="24"/>
          <w:szCs w:val="24"/>
        </w:rPr>
        <w:t>How highways make traffic worse</w:t>
      </w:r>
      <w:r>
        <w:rPr>
          <w:rFonts w:cstheme="minorHAnsi"/>
          <w:bCs/>
          <w:sz w:val="24"/>
          <w:szCs w:val="24"/>
        </w:rPr>
        <w:t xml:space="preserve"> </w:t>
      </w:r>
      <w:hyperlink r:id="rId11" w:history="1">
        <w:r w:rsidRPr="00D92098">
          <w:rPr>
            <w:rStyle w:val="Hypertextovodkaz"/>
            <w:rFonts w:cstheme="minorHAnsi"/>
            <w:bCs/>
            <w:sz w:val="24"/>
            <w:szCs w:val="24"/>
          </w:rPr>
          <w:t>https://www.youtube.com/watch?v=2z7o3sRxA5g</w:t>
        </w:r>
      </w:hyperlink>
    </w:p>
    <w:p w:rsidR="008245C8" w:rsidRDefault="008245C8">
      <w:pPr>
        <w:spacing w:after="57" w:line="240" w:lineRule="auto"/>
        <w:jc w:val="both"/>
        <w:rPr>
          <w:rFonts w:ascii="Calibri" w:hAnsi="Calibri"/>
          <w:b/>
          <w:sz w:val="24"/>
          <w:szCs w:val="24"/>
          <w:u w:val="single"/>
        </w:rPr>
      </w:pPr>
    </w:p>
    <w:p w:rsidR="008245C8" w:rsidRDefault="00F06ED0">
      <w:pPr>
        <w:pStyle w:val="Odstavecseseznamem"/>
        <w:keepNext/>
        <w:numPr>
          <w:ilvl w:val="1"/>
          <w:numId w:val="5"/>
        </w:numPr>
        <w:spacing w:after="57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Rozpor s klimatickým závazkem Prahy </w:t>
      </w:r>
    </w:p>
    <w:p w:rsidR="00313A6F" w:rsidRDefault="00F06ED0" w:rsidP="00313A6F">
      <w:pPr>
        <w:spacing w:after="5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červnu 2019 přijalo zastupitelstvo HLMP klimatický závazek s cílem snížit emise CO2 v hlavním městě o minimálně 45 % do roku 2030 (oproti roku 2010) a dosáhnout nulových emisí CO2 nejpozději do roku 2050.</w:t>
      </w:r>
      <w:r w:rsidR="006A26D0">
        <w:rPr>
          <w:rFonts w:ascii="Calibri" w:hAnsi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Výstavba a provoz dálničního okruhu </w:t>
      </w:r>
      <w:r w:rsidR="00BA12D4">
        <w:rPr>
          <w:sz w:val="24"/>
          <w:szCs w:val="24"/>
        </w:rPr>
        <w:t>skrz Prahu</w:t>
      </w:r>
      <w:r w:rsidR="009F22EE">
        <w:rPr>
          <w:sz w:val="24"/>
          <w:szCs w:val="24"/>
        </w:rPr>
        <w:t xml:space="preserve"> naopak povede </w:t>
      </w:r>
      <w:r>
        <w:rPr>
          <w:sz w:val="24"/>
          <w:szCs w:val="24"/>
        </w:rPr>
        <w:t xml:space="preserve">k obrovskému nárůstu emisí skleníkových plynů. V dopravně inženýrských podkladech je potvrzen velký nárůst dopravních výkonů IAD a kamionů v souvislosti s nabídkou nové silniční kapacity, což </w:t>
      </w:r>
      <w:r w:rsidR="00FF000F">
        <w:rPr>
          <w:sz w:val="24"/>
          <w:szCs w:val="24"/>
        </w:rPr>
        <w:t xml:space="preserve">bude </w:t>
      </w:r>
      <w:r>
        <w:rPr>
          <w:sz w:val="24"/>
          <w:szCs w:val="24"/>
        </w:rPr>
        <w:t>mít negativní dopad na klima.</w:t>
      </w:r>
    </w:p>
    <w:p w:rsidR="00A060EA" w:rsidRDefault="00313A6F" w:rsidP="00851A9E">
      <w:pPr>
        <w:spacing w:after="57" w:line="240" w:lineRule="auto"/>
        <w:rPr>
          <w:sz w:val="24"/>
          <w:szCs w:val="24"/>
        </w:rPr>
      </w:pPr>
      <w:r w:rsidRPr="00851A9E">
        <w:rPr>
          <w:i/>
          <w:sz w:val="24"/>
          <w:szCs w:val="24"/>
        </w:rPr>
        <w:t>Stavět silnice městům neulehčí v dopravě ani v</w:t>
      </w:r>
      <w:r w:rsidR="00851A9E" w:rsidRPr="00851A9E">
        <w:rPr>
          <w:i/>
          <w:sz w:val="24"/>
          <w:szCs w:val="24"/>
        </w:rPr>
        <w:t> </w:t>
      </w:r>
      <w:r w:rsidRPr="00851A9E">
        <w:rPr>
          <w:i/>
          <w:sz w:val="24"/>
          <w:szCs w:val="24"/>
        </w:rPr>
        <w:t>klimatu</w:t>
      </w:r>
      <w:r>
        <w:rPr>
          <w:sz w:val="24"/>
          <w:szCs w:val="24"/>
        </w:rPr>
        <w:t xml:space="preserve"> </w:t>
      </w:r>
      <w:r w:rsidR="00851A9E">
        <w:rPr>
          <w:sz w:val="24"/>
          <w:szCs w:val="24"/>
        </w:rPr>
        <w:br/>
      </w:r>
      <w:hyperlink r:id="rId12" w:history="1">
        <w:r w:rsidRPr="00BC3111">
          <w:rPr>
            <w:rStyle w:val="Hypertextovodkaz"/>
            <w:sz w:val="24"/>
            <w:szCs w:val="24"/>
          </w:rPr>
          <w:t>https://denikreferendum.cz/clanek/33098-stavet-silnice-mestum-neulehci-vdoprave-ani-v-klimatu</w:t>
        </w:r>
      </w:hyperlink>
      <w:r w:rsidR="00A060EA">
        <w:rPr>
          <w:sz w:val="24"/>
          <w:szCs w:val="24"/>
        </w:rPr>
        <w:br w:type="page"/>
      </w:r>
    </w:p>
    <w:p w:rsidR="008245C8" w:rsidRDefault="00F06ED0">
      <w:pPr>
        <w:pStyle w:val="Odstavecseseznamem"/>
        <w:spacing w:after="57" w:line="240" w:lineRule="auto"/>
        <w:ind w:left="0"/>
        <w:jc w:val="both"/>
        <w:rPr>
          <w:rFonts w:ascii="Calibri" w:hAnsi="Calibri"/>
        </w:rPr>
      </w:pPr>
      <w:r>
        <w:rPr>
          <w:b/>
          <w:sz w:val="28"/>
          <w:szCs w:val="28"/>
        </w:rPr>
        <w:lastRenderedPageBreak/>
        <w:t xml:space="preserve">2. </w:t>
      </w:r>
      <w:r w:rsidR="00992A4F" w:rsidRPr="00992A4F">
        <w:rPr>
          <w:b/>
          <w:sz w:val="28"/>
          <w:szCs w:val="28"/>
        </w:rPr>
        <w:t>Požadavky pro řešení tranzitní a městské dopravy v pražské aglomeraci</w:t>
      </w:r>
    </w:p>
    <w:p w:rsidR="003240DF" w:rsidRDefault="003240DF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5541F9" w:rsidRPr="005541F9" w:rsidRDefault="005541F9" w:rsidP="005541F9">
      <w:pPr>
        <w:spacing w:after="57" w:line="240" w:lineRule="auto"/>
        <w:jc w:val="both"/>
        <w:rPr>
          <w:rFonts w:ascii="Calibri" w:hAnsi="Calibri"/>
          <w:b/>
          <w:sz w:val="24"/>
          <w:szCs w:val="24"/>
        </w:rPr>
      </w:pPr>
      <w:r w:rsidRPr="005541F9">
        <w:rPr>
          <w:rFonts w:ascii="Calibri" w:hAnsi="Calibri"/>
          <w:b/>
          <w:sz w:val="24"/>
          <w:szCs w:val="24"/>
        </w:rPr>
        <w:t xml:space="preserve">Dopravu v pražské aglomeraci je zapotřebí řešit komplexně a zabývat se především příčinami dopravních problémů, nikoliv jen léčit symptomy. </w:t>
      </w:r>
    </w:p>
    <w:p w:rsidR="008245C8" w:rsidRDefault="005541F9" w:rsidP="005541F9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5541F9">
        <w:rPr>
          <w:rFonts w:ascii="Calibri" w:hAnsi="Calibri"/>
          <w:sz w:val="24"/>
          <w:szCs w:val="24"/>
        </w:rPr>
        <w:t xml:space="preserve">Současná kritická situace je důsledkem nekoncepčního dopravního a územního plánování </w:t>
      </w:r>
      <w:r w:rsidR="000E079C">
        <w:rPr>
          <w:rFonts w:ascii="Calibri" w:hAnsi="Calibri"/>
          <w:sz w:val="24"/>
          <w:szCs w:val="24"/>
        </w:rPr>
        <w:br/>
      </w:r>
      <w:r w:rsidRPr="005541F9">
        <w:rPr>
          <w:rFonts w:ascii="Calibri" w:hAnsi="Calibri"/>
          <w:sz w:val="24"/>
          <w:szCs w:val="24"/>
        </w:rPr>
        <w:t>v posledních 20-30 letech, které bylo podřízené automobilové dopravě na úkor ekologických druhů dopravy a vedlo k zvýhodnění životního stylu závislého na autech. Jedná se o velké silniční stavby (např. tunel Blanka, Novopacká, rozšiřování dálničních úseků směrem do Prahy, atd.), boom rezidenčních satelitů</w:t>
      </w:r>
      <w:r w:rsidR="000E0A8F">
        <w:rPr>
          <w:rFonts w:ascii="Calibri" w:hAnsi="Calibri"/>
          <w:sz w:val="24"/>
          <w:szCs w:val="24"/>
        </w:rPr>
        <w:t xml:space="preserve"> za Prahou</w:t>
      </w:r>
      <w:r w:rsidRPr="005541F9">
        <w:rPr>
          <w:rFonts w:ascii="Calibri" w:hAnsi="Calibri"/>
          <w:sz w:val="24"/>
          <w:szCs w:val="24"/>
        </w:rPr>
        <w:t>, výstavbu obřích logistických hal a obchodních a zábavních center s desítkami tisíc parkovacích míst a masivní koncentraci ekonomických aktivit v Praze namísto polycentrického rozvoje napříč regiony. Je naprosto evidentní, že řešením nemůže být realizace šestiproudé dálnice v pražské aglomeraci, která výše uvedené problémy naopak prohloubí.</w:t>
      </w:r>
    </w:p>
    <w:p w:rsidR="005541F9" w:rsidRDefault="005541F9" w:rsidP="005541F9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B0391A" w:rsidRPr="00BF1A33" w:rsidRDefault="00B0391A" w:rsidP="005541F9">
      <w:pPr>
        <w:spacing w:after="57" w:line="240" w:lineRule="auto"/>
        <w:jc w:val="both"/>
        <w:rPr>
          <w:rFonts w:ascii="Calibri" w:hAnsi="Calibri"/>
          <w:b/>
          <w:sz w:val="24"/>
          <w:szCs w:val="24"/>
        </w:rPr>
      </w:pPr>
      <w:r w:rsidRPr="00BF1A33">
        <w:rPr>
          <w:rFonts w:ascii="Calibri" w:hAnsi="Calibri"/>
          <w:b/>
          <w:sz w:val="24"/>
          <w:szCs w:val="24"/>
        </w:rPr>
        <w:t xml:space="preserve">Požaduji </w:t>
      </w:r>
    </w:p>
    <w:p w:rsidR="00B0391A" w:rsidRPr="00BF1A33" w:rsidRDefault="00B0391A" w:rsidP="00BF1A33">
      <w:pPr>
        <w:pStyle w:val="Odstavecseseznamem"/>
        <w:numPr>
          <w:ilvl w:val="0"/>
          <w:numId w:val="15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BF1A33">
        <w:rPr>
          <w:rFonts w:ascii="Calibri" w:hAnsi="Calibri"/>
          <w:sz w:val="24"/>
          <w:szCs w:val="24"/>
        </w:rPr>
        <w:t xml:space="preserve">zpracování analýzy skutečných příčin dopravních problémů v pražské </w:t>
      </w:r>
      <w:r w:rsidR="00BF1A33">
        <w:rPr>
          <w:rFonts w:ascii="Calibri" w:hAnsi="Calibri"/>
          <w:sz w:val="24"/>
          <w:szCs w:val="24"/>
        </w:rPr>
        <w:t>aglomeraci</w:t>
      </w:r>
    </w:p>
    <w:p w:rsidR="00B0391A" w:rsidRPr="00BF1A33" w:rsidRDefault="00B0391A" w:rsidP="00BF1A33">
      <w:pPr>
        <w:pStyle w:val="Odstavecseseznamem"/>
        <w:numPr>
          <w:ilvl w:val="0"/>
          <w:numId w:val="15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BF1A33">
        <w:rPr>
          <w:rFonts w:ascii="Calibri" w:hAnsi="Calibri"/>
          <w:sz w:val="24"/>
          <w:szCs w:val="24"/>
        </w:rPr>
        <w:t>komplexní posouzení variant pro tranzitní a regionální dopravu v Pražské metropolitní oblasti s ohledem na do</w:t>
      </w:r>
      <w:r w:rsidR="009E5F84">
        <w:rPr>
          <w:rFonts w:ascii="Calibri" w:hAnsi="Calibri"/>
          <w:sz w:val="24"/>
          <w:szCs w:val="24"/>
        </w:rPr>
        <w:t>pravní, ekologické, ekonomické</w:t>
      </w:r>
      <w:r w:rsidRPr="00BF1A33">
        <w:rPr>
          <w:rFonts w:ascii="Calibri" w:hAnsi="Calibri"/>
          <w:sz w:val="24"/>
          <w:szCs w:val="24"/>
        </w:rPr>
        <w:t xml:space="preserve"> parametry</w:t>
      </w:r>
      <w:r w:rsidR="009E5F84">
        <w:rPr>
          <w:rFonts w:ascii="Calibri" w:hAnsi="Calibri"/>
          <w:sz w:val="24"/>
          <w:szCs w:val="24"/>
        </w:rPr>
        <w:t xml:space="preserve"> a polycentrický rozvoj regionu</w:t>
      </w:r>
      <w:r w:rsidR="009E5F84">
        <w:rPr>
          <w:rStyle w:val="Znakapoznpodarou"/>
          <w:rFonts w:ascii="Calibri" w:hAnsi="Calibri"/>
          <w:sz w:val="24"/>
          <w:szCs w:val="24"/>
        </w:rPr>
        <w:footnoteReference w:id="1"/>
      </w:r>
    </w:p>
    <w:p w:rsidR="00B0391A" w:rsidRPr="00BF1A33" w:rsidRDefault="00B0391A" w:rsidP="00BF1A33">
      <w:pPr>
        <w:pStyle w:val="Odstavecseseznamem"/>
        <w:numPr>
          <w:ilvl w:val="0"/>
          <w:numId w:val="15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BF1A33">
        <w:rPr>
          <w:rFonts w:ascii="Calibri" w:hAnsi="Calibri"/>
          <w:sz w:val="24"/>
          <w:szCs w:val="24"/>
        </w:rPr>
        <w:t xml:space="preserve">komplexní </w:t>
      </w:r>
      <w:r w:rsidR="007371C2">
        <w:rPr>
          <w:rFonts w:ascii="Calibri" w:hAnsi="Calibri"/>
          <w:sz w:val="24"/>
          <w:szCs w:val="24"/>
        </w:rPr>
        <w:t xml:space="preserve">návrh </w:t>
      </w:r>
      <w:r w:rsidRPr="00BF1A33">
        <w:rPr>
          <w:rFonts w:ascii="Calibri" w:hAnsi="Calibri"/>
          <w:sz w:val="24"/>
          <w:szCs w:val="24"/>
        </w:rPr>
        <w:t>řešení městské a příměstské dopravy</w:t>
      </w:r>
      <w:r w:rsidR="000E0A8F">
        <w:rPr>
          <w:rStyle w:val="Znakapoznpodarou"/>
          <w:rFonts w:ascii="Calibri" w:hAnsi="Calibri"/>
          <w:sz w:val="24"/>
          <w:szCs w:val="24"/>
        </w:rPr>
        <w:footnoteReference w:id="2"/>
      </w:r>
      <w:r w:rsidRPr="00BF1A33">
        <w:rPr>
          <w:rFonts w:ascii="Calibri" w:hAnsi="Calibri"/>
          <w:sz w:val="24"/>
          <w:szCs w:val="24"/>
        </w:rPr>
        <w:t xml:space="preserve"> v pražské aglomeraci v souladu s Klimatickým závazkem hl. města Prahy (snížení emisí CO2 o 45% do roku 2030 a uhlíková neutralita do roku 2050) a stěžejními strategickými dokumenty ČR</w:t>
      </w:r>
      <w:r w:rsidR="000E0A8F">
        <w:rPr>
          <w:rFonts w:ascii="Calibri" w:hAnsi="Calibri"/>
          <w:sz w:val="24"/>
          <w:szCs w:val="24"/>
        </w:rPr>
        <w:t xml:space="preserve"> a EU</w:t>
      </w:r>
      <w:r w:rsidR="000E0A8F">
        <w:rPr>
          <w:rStyle w:val="Znakapoznpodarou"/>
          <w:rFonts w:ascii="Calibri" w:hAnsi="Calibri"/>
          <w:sz w:val="24"/>
          <w:szCs w:val="24"/>
        </w:rPr>
        <w:footnoteReference w:id="3"/>
      </w:r>
      <w:r w:rsidRPr="00BF1A33">
        <w:rPr>
          <w:rFonts w:ascii="Calibri" w:hAnsi="Calibri"/>
          <w:sz w:val="24"/>
          <w:szCs w:val="24"/>
        </w:rPr>
        <w:t xml:space="preserve"> </w:t>
      </w:r>
    </w:p>
    <w:p w:rsidR="00B0391A" w:rsidRPr="00BF1A33" w:rsidRDefault="00BF1A33" w:rsidP="00BF1A33">
      <w:pPr>
        <w:pStyle w:val="Odstavecseseznamem"/>
        <w:numPr>
          <w:ilvl w:val="0"/>
          <w:numId w:val="15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="00B0391A" w:rsidRPr="00BF1A33">
        <w:rPr>
          <w:rFonts w:ascii="Calibri" w:hAnsi="Calibri"/>
          <w:sz w:val="24"/>
          <w:szCs w:val="24"/>
        </w:rPr>
        <w:t>mplementac</w:t>
      </w:r>
      <w:r>
        <w:rPr>
          <w:rFonts w:ascii="Calibri" w:hAnsi="Calibri"/>
          <w:sz w:val="24"/>
          <w:szCs w:val="24"/>
        </w:rPr>
        <w:t>i</w:t>
      </w:r>
      <w:r w:rsidR="00B0391A" w:rsidRPr="00BF1A33">
        <w:rPr>
          <w:rFonts w:ascii="Calibri" w:hAnsi="Calibri"/>
          <w:sz w:val="24"/>
          <w:szCs w:val="24"/>
        </w:rPr>
        <w:t xml:space="preserve"> opatření na základě Koncepce městské a</w:t>
      </w:r>
      <w:r>
        <w:rPr>
          <w:rFonts w:ascii="Calibri" w:hAnsi="Calibri"/>
          <w:sz w:val="24"/>
          <w:szCs w:val="24"/>
        </w:rPr>
        <w:t xml:space="preserve"> aktivní mobility ČR 2021-2030</w:t>
      </w:r>
      <w:r w:rsidR="003D0561">
        <w:rPr>
          <w:rStyle w:val="Znakapoznpodarou"/>
          <w:rFonts w:ascii="Calibri" w:hAnsi="Calibri"/>
          <w:sz w:val="24"/>
          <w:szCs w:val="24"/>
        </w:rPr>
        <w:footnoteReference w:id="4"/>
      </w:r>
      <w:r>
        <w:rPr>
          <w:rFonts w:ascii="Calibri" w:hAnsi="Calibri"/>
          <w:sz w:val="24"/>
          <w:szCs w:val="24"/>
        </w:rPr>
        <w:t xml:space="preserve">, </w:t>
      </w:r>
      <w:r w:rsidR="00B0391A" w:rsidRPr="00BF1A33">
        <w:rPr>
          <w:rFonts w:ascii="Calibri" w:hAnsi="Calibri"/>
          <w:sz w:val="24"/>
          <w:szCs w:val="24"/>
        </w:rPr>
        <w:t>jej</w:t>
      </w:r>
      <w:r>
        <w:rPr>
          <w:rFonts w:ascii="Calibri" w:hAnsi="Calibri"/>
          <w:sz w:val="24"/>
          <w:szCs w:val="24"/>
        </w:rPr>
        <w:t>í</w:t>
      </w:r>
      <w:r w:rsidR="007371C2">
        <w:rPr>
          <w:rFonts w:ascii="Calibri" w:hAnsi="Calibri"/>
          <w:sz w:val="24"/>
          <w:szCs w:val="24"/>
        </w:rPr>
        <w:t>m</w:t>
      </w:r>
      <w:r w:rsidR="00B0391A" w:rsidRPr="00BF1A33">
        <w:rPr>
          <w:rFonts w:ascii="Calibri" w:hAnsi="Calibri"/>
          <w:sz w:val="24"/>
          <w:szCs w:val="24"/>
        </w:rPr>
        <w:t>ž cílem je zlepšit dělbu přepravní práce ve prospěch udržitelných druhů dopravy</w:t>
      </w:r>
      <w:r w:rsidR="009E5F84">
        <w:rPr>
          <w:rFonts w:ascii="Calibri" w:hAnsi="Calibri"/>
          <w:sz w:val="24"/>
          <w:szCs w:val="24"/>
        </w:rPr>
        <w:t>:</w:t>
      </w:r>
    </w:p>
    <w:p w:rsidR="00B0391A" w:rsidRPr="001F52B4" w:rsidRDefault="00B0391A" w:rsidP="00B0391A">
      <w:pPr>
        <w:pStyle w:val="Odstavecseseznamem"/>
        <w:numPr>
          <w:ilvl w:val="0"/>
          <w:numId w:val="1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1F52B4">
        <w:rPr>
          <w:rFonts w:ascii="Calibri" w:hAnsi="Calibri"/>
          <w:sz w:val="24"/>
          <w:szCs w:val="24"/>
        </w:rPr>
        <w:t xml:space="preserve">Snížení potřeb po mobilitě plánováním rozvoje města </w:t>
      </w:r>
    </w:p>
    <w:p w:rsidR="00B0391A" w:rsidRPr="001F52B4" w:rsidRDefault="00B0391A" w:rsidP="00B0391A">
      <w:pPr>
        <w:pStyle w:val="Odstavecseseznamem"/>
        <w:numPr>
          <w:ilvl w:val="0"/>
          <w:numId w:val="1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1F52B4">
        <w:rPr>
          <w:rFonts w:ascii="Calibri" w:hAnsi="Calibri"/>
          <w:sz w:val="24"/>
          <w:szCs w:val="24"/>
        </w:rPr>
        <w:t xml:space="preserve">Změna chování lidí k většímu využívání alternativ k autu </w:t>
      </w:r>
    </w:p>
    <w:p w:rsidR="00B0391A" w:rsidRPr="001F52B4" w:rsidRDefault="00B0391A" w:rsidP="00B0391A">
      <w:pPr>
        <w:pStyle w:val="Odstavecseseznamem"/>
        <w:numPr>
          <w:ilvl w:val="0"/>
          <w:numId w:val="1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1F52B4">
        <w:rPr>
          <w:rFonts w:ascii="Calibri" w:hAnsi="Calibri"/>
          <w:sz w:val="24"/>
          <w:szCs w:val="24"/>
        </w:rPr>
        <w:t>Zavádění čistých energií pro dopravu a lepší ekonomika v dopravě</w:t>
      </w:r>
    </w:p>
    <w:p w:rsidR="00B0391A" w:rsidRPr="001F52B4" w:rsidRDefault="00B0391A" w:rsidP="00B0391A">
      <w:pPr>
        <w:pStyle w:val="Odstavecseseznamem"/>
        <w:numPr>
          <w:ilvl w:val="0"/>
          <w:numId w:val="14"/>
        </w:numPr>
        <w:spacing w:after="57" w:line="240" w:lineRule="auto"/>
        <w:jc w:val="both"/>
        <w:rPr>
          <w:rFonts w:ascii="Calibri" w:hAnsi="Calibri"/>
          <w:sz w:val="24"/>
          <w:szCs w:val="24"/>
        </w:rPr>
      </w:pPr>
      <w:r w:rsidRPr="001F52B4">
        <w:rPr>
          <w:rFonts w:ascii="Calibri" w:hAnsi="Calibri"/>
          <w:sz w:val="24"/>
          <w:szCs w:val="24"/>
        </w:rPr>
        <w:t>Dopravní funkce ve veřejném prostranství</w:t>
      </w:r>
      <w:r>
        <w:rPr>
          <w:rFonts w:ascii="Calibri" w:hAnsi="Calibri"/>
          <w:sz w:val="24"/>
          <w:szCs w:val="24"/>
        </w:rPr>
        <w:t xml:space="preserve"> (humanizace veřejného prostoru)</w:t>
      </w:r>
    </w:p>
    <w:p w:rsidR="000E079C" w:rsidRDefault="000E079C" w:rsidP="00B0391A">
      <w:pPr>
        <w:spacing w:after="57" w:line="240" w:lineRule="auto"/>
        <w:jc w:val="both"/>
        <w:rPr>
          <w:rFonts w:ascii="Calibri" w:hAnsi="Calibri"/>
          <w:sz w:val="24"/>
          <w:szCs w:val="24"/>
        </w:rPr>
      </w:pPr>
    </w:p>
    <w:p w:rsidR="003D0561" w:rsidRDefault="003D0561">
      <w:pPr>
        <w:spacing w:after="57" w:line="240" w:lineRule="auto"/>
        <w:rPr>
          <w:sz w:val="24"/>
          <w:szCs w:val="24"/>
          <w:highlight w:val="yellow"/>
        </w:rPr>
      </w:pPr>
    </w:p>
    <w:p w:rsidR="00636672" w:rsidRDefault="00F06ED0">
      <w:pPr>
        <w:spacing w:after="57" w:line="240" w:lineRule="auto"/>
        <w:rPr>
          <w:sz w:val="24"/>
          <w:szCs w:val="24"/>
          <w:highlight w:val="yellow"/>
        </w:rPr>
      </w:pPr>
      <w:r w:rsidRPr="00924499">
        <w:rPr>
          <w:sz w:val="24"/>
          <w:szCs w:val="24"/>
          <w:highlight w:val="yellow"/>
        </w:rPr>
        <w:t>Jméno a příjmení</w:t>
      </w:r>
    </w:p>
    <w:p w:rsidR="00636672" w:rsidRDefault="00636672">
      <w:pPr>
        <w:spacing w:after="57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>Datum narození</w:t>
      </w:r>
      <w:r w:rsidR="00F06ED0" w:rsidRPr="00924499">
        <w:rPr>
          <w:sz w:val="24"/>
          <w:szCs w:val="24"/>
          <w:highlight w:val="yellow"/>
        </w:rPr>
        <w:br/>
        <w:t>Adresa trvalého bydliště</w:t>
      </w:r>
    </w:p>
    <w:p w:rsidR="00636672" w:rsidRDefault="00636672">
      <w:pPr>
        <w:spacing w:after="57" w:line="240" w:lineRule="auto"/>
        <w:rPr>
          <w:sz w:val="24"/>
          <w:szCs w:val="24"/>
        </w:rPr>
      </w:pPr>
      <w:r w:rsidRPr="00636672">
        <w:rPr>
          <w:sz w:val="24"/>
          <w:szCs w:val="24"/>
          <w:highlight w:val="yellow"/>
        </w:rPr>
        <w:t>Podpis</w:t>
      </w:r>
    </w:p>
    <w:p w:rsidR="008245C8" w:rsidRDefault="008245C8">
      <w:pPr>
        <w:spacing w:after="57" w:line="240" w:lineRule="auto"/>
      </w:pPr>
    </w:p>
    <w:sectPr w:rsidR="008245C8"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8E" w:rsidRDefault="00F2068E" w:rsidP="009E5F84">
      <w:pPr>
        <w:spacing w:after="0" w:line="240" w:lineRule="auto"/>
      </w:pPr>
      <w:r>
        <w:separator/>
      </w:r>
    </w:p>
  </w:endnote>
  <w:endnote w:type="continuationSeparator" w:id="0">
    <w:p w:rsidR="00F2068E" w:rsidRDefault="00F2068E" w:rsidP="009E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8E" w:rsidRDefault="00F2068E" w:rsidP="009E5F84">
      <w:pPr>
        <w:spacing w:after="0" w:line="240" w:lineRule="auto"/>
      </w:pPr>
      <w:r>
        <w:separator/>
      </w:r>
    </w:p>
  </w:footnote>
  <w:footnote w:type="continuationSeparator" w:id="0">
    <w:p w:rsidR="00F2068E" w:rsidRDefault="00F2068E" w:rsidP="009E5F84">
      <w:pPr>
        <w:spacing w:after="0" w:line="240" w:lineRule="auto"/>
      </w:pPr>
      <w:r>
        <w:continuationSeparator/>
      </w:r>
    </w:p>
  </w:footnote>
  <w:footnote w:id="1">
    <w:p w:rsidR="009E5F84" w:rsidRDefault="009E5F84">
      <w:pPr>
        <w:pStyle w:val="Textpoznpodarou"/>
      </w:pPr>
      <w:r>
        <w:rPr>
          <w:rStyle w:val="Znakapoznpodarou"/>
        </w:rPr>
        <w:footnoteRef/>
      </w:r>
      <w:r>
        <w:t xml:space="preserve"> Do posouzení zahrnout tzv. regionální v</w:t>
      </w:r>
      <w:r w:rsidR="00D07845">
        <w:t>ariantu, aglomerační okruh, I/1, I/38</w:t>
      </w:r>
      <w:r>
        <w:t xml:space="preserve"> a také stávající a plánované železniční tratě včetně VRT (jako al</w:t>
      </w:r>
      <w:r w:rsidR="003D0561">
        <w:t>ternativa pro silniční dopravu)</w:t>
      </w:r>
    </w:p>
  </w:footnote>
  <w:footnote w:id="2">
    <w:p w:rsidR="000E0A8F" w:rsidRDefault="000E0A8F" w:rsidP="000E0A8F">
      <w:pPr>
        <w:pStyle w:val="Textpoznpodarou"/>
      </w:pPr>
      <w:r>
        <w:rPr>
          <w:rStyle w:val="Znakapoznpodarou"/>
        </w:rPr>
        <w:footnoteRef/>
      </w:r>
      <w:r>
        <w:t xml:space="preserve"> Do návrhu</w:t>
      </w:r>
      <w:r w:rsidR="00D07845">
        <w:t xml:space="preserve"> zahrnout</w:t>
      </w:r>
      <w:r>
        <w:t xml:space="preserve"> </w:t>
      </w:r>
      <w:r w:rsidR="004E56B6">
        <w:t>revizi SOKP 510, 511 a 520 a jejich přeměnu na plnohodnotné městské komunikace pro všechny druhy dopravy. SOKP 511 jako městská komunikace může dočasně převzít nákladní tranzit</w:t>
      </w:r>
      <w:r w:rsidR="00D07845">
        <w:t>,</w:t>
      </w:r>
      <w:r w:rsidR="004E56B6">
        <w:t xml:space="preserve"> než se realizují odpovídající úseky aglomeračního/regionálního</w:t>
      </w:r>
      <w:r w:rsidR="00D07845">
        <w:t xml:space="preserve"> okruhu</w:t>
      </w:r>
      <w:r w:rsidR="004E56B6">
        <w:t xml:space="preserve"> </w:t>
      </w:r>
      <w:hyperlink r:id="rId1" w:history="1">
        <w:r w:rsidR="004E56B6" w:rsidRPr="000B7946">
          <w:rPr>
            <w:rStyle w:val="Hypertextovodkaz"/>
          </w:rPr>
          <w:t>https://rozumnadoprava.cz/wp-content/uploads/2021/06/Reseni-tranzitni-a-mestske-dopravy_2021_Platforma.pdf</w:t>
        </w:r>
      </w:hyperlink>
      <w:r w:rsidR="004E56B6">
        <w:t xml:space="preserve"> (str. 16) </w:t>
      </w:r>
    </w:p>
  </w:footnote>
  <w:footnote w:id="3">
    <w:p w:rsidR="000E0A8F" w:rsidRDefault="000E0A8F">
      <w:pPr>
        <w:pStyle w:val="Textpoznpodarou"/>
      </w:pPr>
      <w:r>
        <w:rPr>
          <w:rStyle w:val="Znakapoznpodarou"/>
        </w:rPr>
        <w:footnoteRef/>
      </w:r>
      <w:r>
        <w:t xml:space="preserve"> Strategické dokumenty a klimatické závazky ČR a EU v oblasti dopravy </w:t>
      </w:r>
      <w:hyperlink r:id="rId2" w:history="1">
        <w:r w:rsidRPr="00915E32">
          <w:rPr>
            <w:rStyle w:val="Hypertextovodkaz"/>
          </w:rPr>
          <w:t>https://rozumnadoprava.cz/wp-content/uploads/2021/08/Rozpory_SOKP_dle_ZUR.pdf</w:t>
        </w:r>
      </w:hyperlink>
      <w:r>
        <w:t xml:space="preserve"> </w:t>
      </w:r>
    </w:p>
  </w:footnote>
  <w:footnote w:id="4">
    <w:p w:rsidR="003D0561" w:rsidRDefault="003D05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3" w:history="1">
        <w:r w:rsidRPr="00915E32">
          <w:rPr>
            <w:rStyle w:val="Hypertextovodkaz"/>
          </w:rPr>
          <w:t>https://www.mdcr.cz/Dokumenty/Strategie/Dopravni-politika-a-MFDI/Koncepce-mestske-a-aktivni-mobility-pro-obdobi-202</w:t>
        </w:r>
      </w:hyperlink>
    </w:p>
    <w:p w:rsidR="003D0561" w:rsidRDefault="003D056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294B"/>
    <w:multiLevelType w:val="hybridMultilevel"/>
    <w:tmpl w:val="DDD00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42F99"/>
    <w:multiLevelType w:val="hybridMultilevel"/>
    <w:tmpl w:val="88F83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448"/>
    <w:multiLevelType w:val="multilevel"/>
    <w:tmpl w:val="9F563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3F451A"/>
    <w:multiLevelType w:val="multilevel"/>
    <w:tmpl w:val="90BAB702"/>
    <w:lvl w:ilvl="0">
      <w:start w:val="2"/>
      <w:numFmt w:val="decimal"/>
      <w:lvlText w:val="%1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u w:val="single"/>
      </w:rPr>
    </w:lvl>
  </w:abstractNum>
  <w:abstractNum w:abstractNumId="4">
    <w:nsid w:val="325F23F7"/>
    <w:multiLevelType w:val="multilevel"/>
    <w:tmpl w:val="E4543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7EA51FE"/>
    <w:multiLevelType w:val="multilevel"/>
    <w:tmpl w:val="8B141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3D63A4A"/>
    <w:multiLevelType w:val="multilevel"/>
    <w:tmpl w:val="EAFC7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4677496"/>
    <w:multiLevelType w:val="multilevel"/>
    <w:tmpl w:val="C764D5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171185D"/>
    <w:multiLevelType w:val="hybridMultilevel"/>
    <w:tmpl w:val="C8260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92A05"/>
    <w:multiLevelType w:val="multilevel"/>
    <w:tmpl w:val="45949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A5E86"/>
    <w:multiLevelType w:val="multilevel"/>
    <w:tmpl w:val="1D521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EA03DAA"/>
    <w:multiLevelType w:val="multilevel"/>
    <w:tmpl w:val="E9C85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906D1"/>
    <w:multiLevelType w:val="multilevel"/>
    <w:tmpl w:val="5A468756"/>
    <w:lvl w:ilvl="0">
      <w:start w:val="2"/>
      <w:numFmt w:val="decimal"/>
      <w:lvlText w:val="%1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4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sz w:val="24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u w:val="single"/>
      </w:rPr>
    </w:lvl>
  </w:abstractNum>
  <w:abstractNum w:abstractNumId="13">
    <w:nsid w:val="7CD9580C"/>
    <w:multiLevelType w:val="multilevel"/>
    <w:tmpl w:val="F78A0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FA12B05"/>
    <w:multiLevelType w:val="multilevel"/>
    <w:tmpl w:val="0F907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3"/>
  </w:num>
  <w:num w:numId="5">
    <w:abstractNumId w:val="14"/>
  </w:num>
  <w:num w:numId="6">
    <w:abstractNumId w:val="3"/>
  </w:num>
  <w:num w:numId="7">
    <w:abstractNumId w:val="2"/>
  </w:num>
  <w:num w:numId="8">
    <w:abstractNumId w:val="4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C8"/>
    <w:rsid w:val="000664ED"/>
    <w:rsid w:val="0008599A"/>
    <w:rsid w:val="000B5236"/>
    <w:rsid w:val="000B5AEC"/>
    <w:rsid w:val="000E079C"/>
    <w:rsid w:val="000E0A8F"/>
    <w:rsid w:val="000F6BC7"/>
    <w:rsid w:val="00220101"/>
    <w:rsid w:val="00262BF5"/>
    <w:rsid w:val="002F0052"/>
    <w:rsid w:val="00313A6F"/>
    <w:rsid w:val="003240DF"/>
    <w:rsid w:val="003862C3"/>
    <w:rsid w:val="003871F9"/>
    <w:rsid w:val="003B45D7"/>
    <w:rsid w:val="003D0561"/>
    <w:rsid w:val="00400225"/>
    <w:rsid w:val="00423AAA"/>
    <w:rsid w:val="00454C09"/>
    <w:rsid w:val="00461601"/>
    <w:rsid w:val="004951D4"/>
    <w:rsid w:val="004A519A"/>
    <w:rsid w:val="004B33CD"/>
    <w:rsid w:val="004E56B6"/>
    <w:rsid w:val="005541F9"/>
    <w:rsid w:val="005B31D4"/>
    <w:rsid w:val="00636672"/>
    <w:rsid w:val="00637FC1"/>
    <w:rsid w:val="006A26D0"/>
    <w:rsid w:val="006A2E2F"/>
    <w:rsid w:val="007371C2"/>
    <w:rsid w:val="00761ACE"/>
    <w:rsid w:val="0077613B"/>
    <w:rsid w:val="007B344C"/>
    <w:rsid w:val="007B73ED"/>
    <w:rsid w:val="007E0867"/>
    <w:rsid w:val="007E2884"/>
    <w:rsid w:val="008245C8"/>
    <w:rsid w:val="00851A9E"/>
    <w:rsid w:val="008541F6"/>
    <w:rsid w:val="00893A0F"/>
    <w:rsid w:val="008C27D2"/>
    <w:rsid w:val="00924499"/>
    <w:rsid w:val="00992A4F"/>
    <w:rsid w:val="00994D79"/>
    <w:rsid w:val="009A0E9A"/>
    <w:rsid w:val="009E5F84"/>
    <w:rsid w:val="009F22EE"/>
    <w:rsid w:val="00A060EA"/>
    <w:rsid w:val="00A51AFD"/>
    <w:rsid w:val="00A567CE"/>
    <w:rsid w:val="00A73658"/>
    <w:rsid w:val="00AA4A35"/>
    <w:rsid w:val="00AB2B01"/>
    <w:rsid w:val="00B0391A"/>
    <w:rsid w:val="00B16AEF"/>
    <w:rsid w:val="00B51924"/>
    <w:rsid w:val="00B70549"/>
    <w:rsid w:val="00B74996"/>
    <w:rsid w:val="00BA12D4"/>
    <w:rsid w:val="00BF1A33"/>
    <w:rsid w:val="00C61DF6"/>
    <w:rsid w:val="00C83CF4"/>
    <w:rsid w:val="00CC427F"/>
    <w:rsid w:val="00CD607B"/>
    <w:rsid w:val="00CF092D"/>
    <w:rsid w:val="00D07845"/>
    <w:rsid w:val="00D40ED4"/>
    <w:rsid w:val="00D41063"/>
    <w:rsid w:val="00DA2F7D"/>
    <w:rsid w:val="00DB6004"/>
    <w:rsid w:val="00DC6A0E"/>
    <w:rsid w:val="00E135D3"/>
    <w:rsid w:val="00E16E50"/>
    <w:rsid w:val="00E618A2"/>
    <w:rsid w:val="00E65557"/>
    <w:rsid w:val="00E775A3"/>
    <w:rsid w:val="00E83FD3"/>
    <w:rsid w:val="00E87130"/>
    <w:rsid w:val="00E935AF"/>
    <w:rsid w:val="00E959AC"/>
    <w:rsid w:val="00F06ED0"/>
    <w:rsid w:val="00F2068E"/>
    <w:rsid w:val="00F728C9"/>
    <w:rsid w:val="00FC299A"/>
    <w:rsid w:val="00FD3DE5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36E2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70CA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4C3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02238"/>
  </w:style>
  <w:style w:type="character" w:customStyle="1" w:styleId="ZpatChar">
    <w:name w:val="Zápatí Char"/>
    <w:basedOn w:val="Standardnpsmoodstavce"/>
    <w:link w:val="Zpat"/>
    <w:uiPriority w:val="99"/>
    <w:qFormat/>
    <w:rsid w:val="007022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4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  <w:sz w:val="24"/>
    </w:rPr>
  </w:style>
  <w:style w:type="paragraph" w:styleId="Odstavecseseznamem">
    <w:name w:val="List Paragraph"/>
    <w:basedOn w:val="Normln"/>
    <w:uiPriority w:val="34"/>
    <w:qFormat/>
    <w:rsid w:val="00D31B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833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4C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4C0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5F8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5F84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5F84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3D05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36E2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70CA9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D4C3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02238"/>
  </w:style>
  <w:style w:type="character" w:customStyle="1" w:styleId="ZpatChar">
    <w:name w:val="Zápatí Char"/>
    <w:basedOn w:val="Standardnpsmoodstavce"/>
    <w:link w:val="Zpat"/>
    <w:uiPriority w:val="99"/>
    <w:qFormat/>
    <w:rsid w:val="007022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4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  <w:sz w:val="24"/>
    </w:rPr>
  </w:style>
  <w:style w:type="paragraph" w:styleId="Odstavecseseznamem">
    <w:name w:val="List Paragraph"/>
    <w:basedOn w:val="Normln"/>
    <w:uiPriority w:val="34"/>
    <w:qFormat/>
    <w:rsid w:val="00D31B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F833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D4C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02238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4C0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5F8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5F84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5F84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3D05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enikreferendum.cz/clanek/33098-stavet-silnice-mestum-neulehci-vdoprave-ani-v-klimat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2z7o3sRxA5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vtpi.org/gentraf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zumnadoprava.cz/publikace/#510bezpecnost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dcr.cz/Dokumenty/Strategie/Dopravni-politika-a-MFDI/Koncepce-mestske-a-aktivni-mobility-pro-obdobi-202" TargetMode="External"/><Relationship Id="rId2" Type="http://schemas.openxmlformats.org/officeDocument/2006/relationships/hyperlink" Target="https://rozumnadoprava.cz/wp-content/uploads/2021/08/Rozpory_SOKP_dle_ZUR.pdf" TargetMode="External"/><Relationship Id="rId1" Type="http://schemas.openxmlformats.org/officeDocument/2006/relationships/hyperlink" Target="https://rozumnadoprava.cz/wp-content/uploads/2021/06/Reseni-tranzitni-a-mestske-dopravy_2021_Platforma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4766-A3D4-4C5B-9B8E-19A1807D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1113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Veřejnost</dc:creator>
  <cp:lastModifiedBy>Marek Lněnička</cp:lastModifiedBy>
  <cp:revision>8</cp:revision>
  <dcterms:created xsi:type="dcterms:W3CDTF">2021-11-17T13:04:00Z</dcterms:created>
  <dcterms:modified xsi:type="dcterms:W3CDTF">2021-11-17T16:22:00Z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